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2B" w:rsidRDefault="001D7D2B"/>
    <w:p w:rsidR="001D7D2B" w:rsidRDefault="0054312F">
      <w:pPr>
        <w:spacing w:after="0" w:line="256" w:lineRule="auto"/>
        <w:ind w:left="67"/>
        <w:jc w:val="right"/>
        <w:rPr>
          <w:rFonts w:ascii="Arial" w:eastAsia="Arial" w:hAnsi="Arial" w:cs="Arial"/>
        </w:rPr>
      </w:pPr>
      <w:r>
        <w:rPr>
          <w:rFonts w:ascii="Arial" w:eastAsia="Arial" w:hAnsi="Arial" w:cs="Arial"/>
        </w:rPr>
        <w:t>ALLEGATO 1 BIS</w:t>
      </w: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Arial" w:eastAsia="Arial" w:hAnsi="Arial" w:cs="Arial"/>
        </w:rPr>
      </w:pPr>
    </w:p>
    <w:p w:rsidR="001D7D2B" w:rsidRDefault="001D7D2B">
      <w:pPr>
        <w:spacing w:after="0" w:line="256" w:lineRule="auto"/>
        <w:ind w:left="67"/>
        <w:jc w:val="center"/>
        <w:rPr>
          <w:rFonts w:ascii="Times New Roman" w:eastAsia="Times New Roman" w:hAnsi="Times New Roman" w:cs="Times New Roman"/>
          <w:color w:val="000000"/>
          <w:sz w:val="28"/>
          <w:szCs w:val="28"/>
        </w:rPr>
      </w:pPr>
    </w:p>
    <w:p w:rsidR="001D7D2B" w:rsidRDefault="001D7D2B">
      <w:pPr>
        <w:spacing w:after="0" w:line="256" w:lineRule="auto"/>
        <w:ind w:left="67"/>
        <w:jc w:val="center"/>
        <w:rPr>
          <w:sz w:val="20"/>
          <w:szCs w:val="20"/>
        </w:rPr>
      </w:pPr>
    </w:p>
    <w:p w:rsidR="001D7D2B" w:rsidRDefault="001D7D2B">
      <w:pPr>
        <w:spacing w:after="0" w:line="240" w:lineRule="auto"/>
        <w:ind w:left="505" w:hanging="505"/>
        <w:jc w:val="right"/>
        <w:rPr>
          <w:sz w:val="24"/>
          <w:szCs w:val="24"/>
        </w:rPr>
      </w:pPr>
    </w:p>
    <w:tbl>
      <w:tblPr>
        <w:tblStyle w:val="a"/>
        <w:tblW w:w="9705" w:type="dxa"/>
        <w:tblInd w:w="0" w:type="dxa"/>
        <w:tblBorders>
          <w:top w:val="single" w:sz="4" w:space="0" w:color="000000"/>
          <w:left w:val="single" w:sz="4" w:space="0" w:color="000000"/>
          <w:bottom w:val="single" w:sz="4" w:space="0" w:color="000000"/>
          <w:right w:val="single" w:sz="4" w:space="0" w:color="000000"/>
        </w:tblBorders>
        <w:tblLayout w:type="fixed"/>
        <w:tblLook w:val="0400"/>
      </w:tblPr>
      <w:tblGrid>
        <w:gridCol w:w="9705"/>
      </w:tblGrid>
      <w:tr w:rsidR="001D7D2B">
        <w:trPr>
          <w:cantSplit/>
          <w:trHeight w:val="1134"/>
          <w:tblHeader/>
        </w:trPr>
        <w:tc>
          <w:tcPr>
            <w:tcW w:w="9705" w:type="dxa"/>
            <w:tcBorders>
              <w:top w:val="single" w:sz="4" w:space="0" w:color="000000"/>
              <w:left w:val="single" w:sz="4" w:space="0" w:color="000000"/>
              <w:bottom w:val="single" w:sz="4" w:space="0" w:color="000000"/>
              <w:right w:val="single" w:sz="4" w:space="0" w:color="000000"/>
            </w:tcBorders>
            <w:vAlign w:val="center"/>
          </w:tcPr>
          <w:p w:rsidR="001D7D2B" w:rsidRDefault="005431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AVVISO PUBBLICO</w:t>
            </w:r>
          </w:p>
          <w:p w:rsidR="001D7D2B" w:rsidRDefault="005431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PIANI </w:t>
            </w:r>
            <w:proofErr w:type="spellStart"/>
            <w:r>
              <w:rPr>
                <w:rFonts w:ascii="Times New Roman" w:eastAsia="Times New Roman" w:hAnsi="Times New Roman" w:cs="Times New Roman"/>
                <w:b/>
                <w:sz w:val="24"/>
                <w:szCs w:val="24"/>
              </w:rPr>
              <w:t>DI</w:t>
            </w:r>
            <w:proofErr w:type="spellEnd"/>
            <w:r>
              <w:rPr>
                <w:rFonts w:ascii="Times New Roman" w:eastAsia="Times New Roman" w:hAnsi="Times New Roman" w:cs="Times New Roman"/>
                <w:b/>
                <w:sz w:val="24"/>
                <w:szCs w:val="24"/>
              </w:rPr>
              <w:t xml:space="preserve"> SOSTEGNO E SVILUPPO PER ENTI </w:t>
            </w:r>
            <w:proofErr w:type="spellStart"/>
            <w:r>
              <w:rPr>
                <w:rFonts w:ascii="Times New Roman" w:eastAsia="Times New Roman" w:hAnsi="Times New Roman" w:cs="Times New Roman"/>
                <w:b/>
                <w:sz w:val="24"/>
                <w:szCs w:val="24"/>
              </w:rPr>
              <w:t>DI</w:t>
            </w:r>
            <w:proofErr w:type="spellEnd"/>
            <w:r>
              <w:rPr>
                <w:rFonts w:ascii="Times New Roman" w:eastAsia="Times New Roman" w:hAnsi="Times New Roman" w:cs="Times New Roman"/>
                <w:b/>
                <w:sz w:val="24"/>
                <w:szCs w:val="24"/>
              </w:rPr>
              <w:t xml:space="preserve"> TERZO SETTORE</w:t>
            </w:r>
          </w:p>
          <w:p w:rsidR="001D7D2B" w:rsidRDefault="005431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Piani generativi di imprenditoria sociale</w:t>
            </w:r>
          </w:p>
          <w:p w:rsidR="001D7D2B" w:rsidRDefault="0054312F">
            <w:pPr>
              <w:spacing w:after="0" w:line="240" w:lineRule="auto"/>
              <w:ind w:left="-5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 7 - misura TO7.1.1.b - PON METRO REACT  EU TORINO”</w:t>
            </w:r>
          </w:p>
          <w:p w:rsidR="001D7D2B" w:rsidRDefault="001D7D2B">
            <w:pPr>
              <w:spacing w:after="0" w:line="240" w:lineRule="auto"/>
              <w:ind w:left="-505"/>
              <w:jc w:val="center"/>
              <w:rPr>
                <w:b/>
                <w:sz w:val="24"/>
                <w:szCs w:val="24"/>
              </w:rPr>
            </w:pPr>
          </w:p>
          <w:p w:rsidR="001D7D2B" w:rsidRDefault="001D7D2B">
            <w:pPr>
              <w:spacing w:after="0" w:line="240" w:lineRule="auto"/>
              <w:ind w:left="-505"/>
              <w:jc w:val="center"/>
              <w:rPr>
                <w:b/>
                <w:sz w:val="24"/>
                <w:szCs w:val="24"/>
              </w:rPr>
            </w:pPr>
          </w:p>
          <w:p w:rsidR="001D7D2B" w:rsidRDefault="001D7D2B">
            <w:pPr>
              <w:spacing w:after="0" w:line="240" w:lineRule="auto"/>
              <w:ind w:left="-505"/>
              <w:jc w:val="center"/>
              <w:rPr>
                <w:b/>
                <w:sz w:val="24"/>
                <w:szCs w:val="24"/>
              </w:rPr>
            </w:pPr>
          </w:p>
          <w:p w:rsidR="001D7D2B" w:rsidRDefault="001D7D2B">
            <w:pPr>
              <w:spacing w:after="0" w:line="240" w:lineRule="auto"/>
              <w:ind w:left="-505"/>
              <w:jc w:val="center"/>
              <w:rPr>
                <w:b/>
                <w:sz w:val="24"/>
                <w:szCs w:val="24"/>
              </w:rPr>
            </w:pPr>
          </w:p>
          <w:p w:rsidR="001D7D2B" w:rsidRDefault="001D7D2B">
            <w:pPr>
              <w:spacing w:after="0" w:line="240" w:lineRule="auto"/>
              <w:ind w:left="-505"/>
              <w:jc w:val="center"/>
              <w:rPr>
                <w:rFonts w:ascii="Times New Roman" w:eastAsia="Times New Roman" w:hAnsi="Times New Roman" w:cs="Times New Roman"/>
                <w:b/>
                <w:sz w:val="24"/>
                <w:szCs w:val="24"/>
              </w:rPr>
            </w:pPr>
          </w:p>
          <w:p w:rsidR="001D7D2B" w:rsidRDefault="001D7D2B">
            <w:pPr>
              <w:spacing w:after="0" w:line="240" w:lineRule="auto"/>
              <w:ind w:left="-505"/>
              <w:jc w:val="center"/>
              <w:rPr>
                <w:rFonts w:ascii="Times New Roman" w:eastAsia="Times New Roman" w:hAnsi="Times New Roman" w:cs="Times New Roman"/>
                <w:b/>
                <w:sz w:val="24"/>
                <w:szCs w:val="24"/>
              </w:rPr>
            </w:pPr>
          </w:p>
          <w:p w:rsidR="001D7D2B" w:rsidRDefault="0054312F">
            <w:pPr>
              <w:spacing w:after="0" w:line="240" w:lineRule="auto"/>
              <w:ind w:left="-5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DICHIARAZIONE AIUTI “DE MINIMIS” </w:t>
            </w:r>
          </w:p>
          <w:p w:rsidR="001D7D2B" w:rsidRDefault="0054312F">
            <w:pPr>
              <w:spacing w:after="0" w:line="240" w:lineRule="auto"/>
              <w:ind w:left="-5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(sostitutiva dell’atto di notorietà – art. 46 e 47 D.P.R. 28/12/2000 n. 445)</w:t>
            </w:r>
          </w:p>
          <w:p w:rsidR="001D7D2B" w:rsidRDefault="001D7D2B">
            <w:pPr>
              <w:spacing w:after="0" w:line="240" w:lineRule="auto"/>
              <w:ind w:left="-505"/>
              <w:jc w:val="center"/>
              <w:rPr>
                <w:rFonts w:ascii="Times New Roman" w:eastAsia="Times New Roman" w:hAnsi="Times New Roman" w:cs="Times New Roman"/>
                <w:b/>
                <w:sz w:val="24"/>
                <w:szCs w:val="24"/>
              </w:rPr>
            </w:pPr>
          </w:p>
          <w:p w:rsidR="001D7D2B" w:rsidRDefault="001D7D2B">
            <w:pPr>
              <w:spacing w:after="0" w:line="240" w:lineRule="auto"/>
              <w:ind w:left="-505"/>
              <w:jc w:val="center"/>
              <w:rPr>
                <w:b/>
                <w:sz w:val="24"/>
                <w:szCs w:val="24"/>
              </w:rPr>
            </w:pPr>
          </w:p>
        </w:tc>
      </w:tr>
    </w:tbl>
    <w:p w:rsidR="001D7D2B" w:rsidRDefault="001D7D2B">
      <w:pPr>
        <w:spacing w:after="0" w:line="240" w:lineRule="auto"/>
        <w:ind w:left="505" w:hanging="505"/>
        <w:jc w:val="right"/>
        <w:rPr>
          <w:sz w:val="24"/>
          <w:szCs w:val="24"/>
        </w:rPr>
      </w:pPr>
    </w:p>
    <w:p w:rsidR="001D7D2B" w:rsidRDefault="0054312F">
      <w:pPr>
        <w:spacing w:after="160" w:line="256" w:lineRule="auto"/>
        <w:rPr>
          <w:sz w:val="24"/>
          <w:szCs w:val="24"/>
        </w:rPr>
      </w:pPr>
      <w:r>
        <w:br w:type="page"/>
      </w:r>
    </w:p>
    <w:p w:rsidR="001D7D2B" w:rsidRDefault="001D7D2B">
      <w:pPr>
        <w:spacing w:after="160" w:line="256" w:lineRule="auto"/>
        <w:rPr>
          <w:sz w:val="24"/>
          <w:szCs w:val="24"/>
        </w:rPr>
      </w:pPr>
    </w:p>
    <w:p w:rsidR="001D7D2B" w:rsidRDefault="001D7D2B">
      <w:pPr>
        <w:spacing w:after="160" w:line="256" w:lineRule="auto"/>
        <w:rPr>
          <w:sz w:val="24"/>
          <w:szCs w:val="24"/>
        </w:rPr>
      </w:pPr>
    </w:p>
    <w:p w:rsidR="001D7D2B" w:rsidRDefault="001D7D2B">
      <w:pPr>
        <w:spacing w:after="0" w:line="360" w:lineRule="auto"/>
        <w:rPr>
          <w:sz w:val="24"/>
          <w:szCs w:val="24"/>
        </w:rPr>
      </w:pPr>
    </w:p>
    <w:p w:rsidR="001D7D2B" w:rsidRDefault="0054312F">
      <w:pPr>
        <w:spacing w:after="0" w:line="360" w:lineRule="auto"/>
        <w:rPr>
          <w:sz w:val="24"/>
          <w:szCs w:val="24"/>
        </w:rPr>
      </w:pPr>
      <w:r>
        <w:rPr>
          <w:sz w:val="24"/>
          <w:szCs w:val="24"/>
        </w:rPr>
        <w:t>Il sottoscritto __________________________________, nato a ________________________ il ______________, residente in ______________________________________, in qualità di legale rappresentante della società /organizzazione___________________________________</w:t>
      </w:r>
      <w:r>
        <w:rPr>
          <w:sz w:val="24"/>
          <w:szCs w:val="24"/>
        </w:rPr>
        <w:t xml:space="preserve">_______ con sede legale in _______________________________________________, in attuazione del Decreto MIBACT 11 maggio 2016 che rientra negli aiuti soggetti alla regola del “de </w:t>
      </w:r>
      <w:proofErr w:type="spellStart"/>
      <w:r>
        <w:rPr>
          <w:sz w:val="24"/>
          <w:szCs w:val="24"/>
        </w:rPr>
        <w:t>minimis</w:t>
      </w:r>
      <w:proofErr w:type="spellEnd"/>
      <w:r>
        <w:rPr>
          <w:sz w:val="24"/>
          <w:szCs w:val="24"/>
        </w:rPr>
        <w:t>” di cui al Regolamento (UE) n. 1407/2013 del 18 dicembre 2013 pubblicat</w:t>
      </w:r>
      <w:r>
        <w:rPr>
          <w:sz w:val="24"/>
          <w:szCs w:val="24"/>
        </w:rPr>
        <w:t>o nella GUUE L 352 del 24/12/2013 e successive modificazioni e integrazioni</w:t>
      </w:r>
    </w:p>
    <w:p w:rsidR="001D7D2B" w:rsidRDefault="001D7D2B">
      <w:pPr>
        <w:spacing w:after="0" w:line="240" w:lineRule="auto"/>
        <w:jc w:val="center"/>
        <w:rPr>
          <w:b/>
          <w:sz w:val="24"/>
          <w:szCs w:val="24"/>
        </w:rPr>
      </w:pPr>
    </w:p>
    <w:p w:rsidR="001D7D2B" w:rsidRDefault="0054312F">
      <w:pPr>
        <w:spacing w:after="0" w:line="240" w:lineRule="auto"/>
        <w:jc w:val="center"/>
        <w:rPr>
          <w:sz w:val="24"/>
          <w:szCs w:val="24"/>
        </w:rPr>
      </w:pPr>
      <w:r>
        <w:rPr>
          <w:b/>
          <w:sz w:val="24"/>
          <w:szCs w:val="24"/>
        </w:rPr>
        <w:t>Preso atto</w:t>
      </w:r>
    </w:p>
    <w:p w:rsidR="001D7D2B" w:rsidRDefault="001D7D2B">
      <w:pPr>
        <w:spacing w:after="0" w:line="256" w:lineRule="auto"/>
      </w:pPr>
    </w:p>
    <w:p w:rsidR="001D7D2B" w:rsidRDefault="0054312F">
      <w:pPr>
        <w:ind w:left="-5"/>
      </w:pPr>
      <w:r>
        <w:t>che la Commissione Europea con il proprio Regolamento (UE) n. 1407/2013 del 18 dicembre 2013</w:t>
      </w:r>
      <w:r>
        <w:rPr>
          <w:vertAlign w:val="superscript"/>
        </w:rPr>
        <w:footnoteReference w:id="2"/>
      </w:r>
      <w:r>
        <w:t xml:space="preserve"> ha stabilito: </w:t>
      </w:r>
    </w:p>
    <w:p w:rsidR="001D7D2B" w:rsidRDefault="001D7D2B">
      <w:pPr>
        <w:spacing w:after="0" w:line="256" w:lineRule="auto"/>
        <w:ind w:left="360"/>
      </w:pPr>
    </w:p>
    <w:p w:rsidR="001D7D2B" w:rsidRDefault="0054312F">
      <w:pPr>
        <w:numPr>
          <w:ilvl w:val="0"/>
          <w:numId w:val="1"/>
        </w:numPr>
        <w:spacing w:after="134" w:line="249" w:lineRule="auto"/>
        <w:ind w:hanging="710"/>
        <w:jc w:val="both"/>
      </w:pPr>
      <w:r>
        <w:t>che l’importo massimo complessivo di aiuti pubblici “</w:t>
      </w:r>
      <w:r>
        <w:rPr>
          <w:i/>
        </w:rPr>
        <w:t xml:space="preserve">de </w:t>
      </w:r>
      <w:proofErr w:type="spellStart"/>
      <w:r>
        <w:rPr>
          <w:i/>
        </w:rPr>
        <w:t>m</w:t>
      </w:r>
      <w:r>
        <w:rPr>
          <w:i/>
        </w:rPr>
        <w:t>inimis</w:t>
      </w:r>
      <w:proofErr w:type="spellEnd"/>
      <w:r>
        <w:t>” che possono essere concessi a un’impresa unica</w:t>
      </w:r>
      <w:r>
        <w:rPr>
          <w:vertAlign w:val="superscript"/>
        </w:rPr>
        <w:footnoteReference w:id="3"/>
      </w:r>
      <w:r>
        <w:t xml:space="preserve"> nell’arco di tre esercizi finanziari</w:t>
      </w:r>
      <w:r>
        <w:rPr>
          <w:vertAlign w:val="superscript"/>
        </w:rPr>
        <w:footnoteReference w:id="4"/>
      </w:r>
      <w:r>
        <w:t xml:space="preserve"> - senza la preventiva notifica ed autorizzazione da parte della Commissione Europea - è pari a € 200.000,00 (€ 100.000,00 se l’impresa opera nel settore del trasp</w:t>
      </w:r>
      <w:r>
        <w:t>orto di merci su strada per conto terzi</w:t>
      </w:r>
      <w:r>
        <w:rPr>
          <w:vertAlign w:val="superscript"/>
        </w:rPr>
        <w:footnoteReference w:id="5"/>
      </w:r>
      <w:r>
        <w:rPr>
          <w:i/>
        </w:rPr>
        <w:t>)</w:t>
      </w:r>
      <w:r>
        <w:t xml:space="preserve">; </w:t>
      </w:r>
    </w:p>
    <w:p w:rsidR="001D7D2B" w:rsidRDefault="0054312F">
      <w:pPr>
        <w:numPr>
          <w:ilvl w:val="0"/>
          <w:numId w:val="1"/>
        </w:numPr>
        <w:spacing w:after="112" w:line="249" w:lineRule="auto"/>
        <w:ind w:hanging="710"/>
        <w:jc w:val="both"/>
      </w:pPr>
      <w:r>
        <w:t xml:space="preserve">che gli aiuti </w:t>
      </w:r>
      <w:r>
        <w:rPr>
          <w:i/>
        </w:rPr>
        <w:t xml:space="preserve">de </w:t>
      </w:r>
      <w:proofErr w:type="spellStart"/>
      <w:r>
        <w:rPr>
          <w:i/>
        </w:rPr>
        <w:t>minimis</w:t>
      </w:r>
      <w:proofErr w:type="spellEnd"/>
      <w:r>
        <w:t xml:space="preserve"> sono considerati concessi nel momento in cui all’impresa è accordato il diritto di ricevere gli aiuti, indipendentemente dalla data di erogazione degli aiuti all’impresa; </w:t>
      </w:r>
    </w:p>
    <w:p w:rsidR="001D7D2B" w:rsidRDefault="0054312F">
      <w:pPr>
        <w:numPr>
          <w:ilvl w:val="0"/>
          <w:numId w:val="1"/>
        </w:numPr>
        <w:spacing w:after="112" w:line="249" w:lineRule="auto"/>
        <w:ind w:hanging="710"/>
        <w:jc w:val="both"/>
      </w:pPr>
      <w:r>
        <w:t xml:space="preserve">che gli aiuti </w:t>
      </w:r>
      <w:r>
        <w:rPr>
          <w:i/>
        </w:rPr>
        <w:t xml:space="preserve">de </w:t>
      </w:r>
      <w:proofErr w:type="spellStart"/>
      <w:r>
        <w:rPr>
          <w:i/>
        </w:rPr>
        <w:t>minimis</w:t>
      </w:r>
      <w:proofErr w:type="spellEnd"/>
      <w:r>
        <w:t xml:space="preserve"> possono essere cumulati (i) con gli aiuti </w:t>
      </w:r>
      <w:r>
        <w:rPr>
          <w:i/>
        </w:rPr>
        <w:t xml:space="preserve">de </w:t>
      </w:r>
      <w:proofErr w:type="spellStart"/>
      <w:r>
        <w:rPr>
          <w:i/>
        </w:rPr>
        <w:t>minimis</w:t>
      </w:r>
      <w:proofErr w:type="spellEnd"/>
      <w:r>
        <w:t xml:space="preserve"> concessi a norma del Regolamento (UE) n. 360/2012 della Commissione (aiuti </w:t>
      </w:r>
      <w:r>
        <w:rPr>
          <w:i/>
        </w:rPr>
        <w:t xml:space="preserve">de </w:t>
      </w:r>
      <w:proofErr w:type="spellStart"/>
      <w:r>
        <w:rPr>
          <w:i/>
        </w:rPr>
        <w:t>minimis</w:t>
      </w:r>
      <w:proofErr w:type="spellEnd"/>
      <w:r>
        <w:t xml:space="preserve"> a imprese che forniscono Servizi di Interesse Economico Generale) nel rispetto del massimale previsto in t</w:t>
      </w:r>
      <w:r>
        <w:t>ale Regolamento e (</w:t>
      </w:r>
      <w:proofErr w:type="spellStart"/>
      <w:r>
        <w:t>ii</w:t>
      </w:r>
      <w:proofErr w:type="spellEnd"/>
      <w:r>
        <w:t xml:space="preserve">) con gli aiuti </w:t>
      </w:r>
      <w:r>
        <w:rPr>
          <w:i/>
        </w:rPr>
        <w:t xml:space="preserve">de </w:t>
      </w:r>
      <w:proofErr w:type="spellStart"/>
      <w:r>
        <w:rPr>
          <w:i/>
        </w:rPr>
        <w:t>minimis</w:t>
      </w:r>
      <w:proofErr w:type="spellEnd"/>
      <w:r>
        <w:t xml:space="preserve"> concessi a norma di altri regolamenti </w:t>
      </w:r>
      <w:r>
        <w:rPr>
          <w:i/>
        </w:rPr>
        <w:t xml:space="preserve">de </w:t>
      </w:r>
      <w:proofErr w:type="spellStart"/>
      <w:r>
        <w:rPr>
          <w:i/>
        </w:rPr>
        <w:t>minimis</w:t>
      </w:r>
      <w:proofErr w:type="spellEnd"/>
      <w:r>
        <w:t xml:space="preserve"> purché non superino il massimale di € 200.000,00 (€ 100.000,00 se l’impresa opera nel settore del trasporto di merci su strada per conto terzi); </w:t>
      </w:r>
    </w:p>
    <w:p w:rsidR="001D7D2B" w:rsidRDefault="0054312F">
      <w:pPr>
        <w:numPr>
          <w:ilvl w:val="0"/>
          <w:numId w:val="1"/>
        </w:numPr>
        <w:spacing w:after="112" w:line="249" w:lineRule="auto"/>
        <w:ind w:hanging="710"/>
        <w:jc w:val="both"/>
      </w:pPr>
      <w:r>
        <w:t>che gli aiuti</w:t>
      </w:r>
      <w:r>
        <w:t xml:space="preserve"> </w:t>
      </w:r>
      <w:r>
        <w:rPr>
          <w:i/>
        </w:rPr>
        <w:t xml:space="preserve">de </w:t>
      </w:r>
      <w:proofErr w:type="spellStart"/>
      <w:r>
        <w:rPr>
          <w:i/>
        </w:rPr>
        <w:t>minimis</w:t>
      </w:r>
      <w:proofErr w:type="spellEnd"/>
      <w:r>
        <w:t xml:space="preserve"> non sono cumulabili con aiuti di Stato concessi per gli stessi costi ammissibili o con aiuti di Stato relativi alla stessa misura di finanziamento del rischio se tale cumulo comporta il superamento dell’intensità di aiuto o dell’importo di aiut</w:t>
      </w:r>
      <w:r>
        <w:t xml:space="preserve">o più elevati fissati, per le specifiche circostanze di ogni caso, in un regolamento d’esenzione per categoria o in una decisione della Commissione; gli aiuti </w:t>
      </w:r>
      <w:r>
        <w:rPr>
          <w:i/>
        </w:rPr>
        <w:t xml:space="preserve">de </w:t>
      </w:r>
      <w:proofErr w:type="spellStart"/>
      <w:r>
        <w:rPr>
          <w:i/>
        </w:rPr>
        <w:t>minimis</w:t>
      </w:r>
      <w:proofErr w:type="spellEnd"/>
      <w:r>
        <w:t xml:space="preserve"> non concessi per specifici costi ammissibili possono invece essere </w:t>
      </w:r>
      <w:r>
        <w:lastRenderedPageBreak/>
        <w:t xml:space="preserve">cumulati con altri </w:t>
      </w:r>
      <w:r>
        <w:t xml:space="preserve">aiuti di Stato concessi sulla base di un regolamento di esenzione per categoria o di una decisione della Commissione; </w:t>
      </w:r>
    </w:p>
    <w:p w:rsidR="001D7D2B" w:rsidRDefault="0054312F">
      <w:pPr>
        <w:numPr>
          <w:ilvl w:val="0"/>
          <w:numId w:val="1"/>
        </w:numPr>
        <w:spacing w:after="138" w:line="249" w:lineRule="auto"/>
        <w:ind w:hanging="710"/>
        <w:jc w:val="both"/>
      </w:pPr>
      <w:r>
        <w:t>che ai fini della determinazione dell’ammontare massimo di € 200.000,00 (€ 100.000,00 se l’impresa opera nel settore del trasporto di mer</w:t>
      </w:r>
      <w:r>
        <w:t xml:space="preserve">ci su strada per conto terzi) devono essere presi in considerazione tutti gli aiuti pubblici, concessi da autorità nazionali, regionali o locali, a prescindere dalla forma dell’aiuto </w:t>
      </w:r>
      <w:r>
        <w:rPr>
          <w:i/>
        </w:rPr>
        <w:t xml:space="preserve">de </w:t>
      </w:r>
      <w:proofErr w:type="spellStart"/>
      <w:r>
        <w:rPr>
          <w:i/>
        </w:rPr>
        <w:t>minimis</w:t>
      </w:r>
      <w:proofErr w:type="spellEnd"/>
      <w:r>
        <w:t xml:space="preserve"> o dall’obiettivo perseguito e a prescindere dal fatto che l’ai</w:t>
      </w:r>
      <w:r>
        <w:t xml:space="preserve">uto concesso sia finanziato interamente o parzialmente con risorse provenienti dall’Unione;  </w:t>
      </w:r>
    </w:p>
    <w:p w:rsidR="001D7D2B" w:rsidRDefault="0054312F">
      <w:pPr>
        <w:numPr>
          <w:ilvl w:val="0"/>
          <w:numId w:val="1"/>
        </w:numPr>
        <w:spacing w:after="4" w:line="249" w:lineRule="auto"/>
        <w:ind w:hanging="710"/>
        <w:jc w:val="both"/>
      </w:pPr>
      <w:r>
        <w:t xml:space="preserve">che la disciplina </w:t>
      </w:r>
      <w:r>
        <w:rPr>
          <w:i/>
        </w:rPr>
        <w:t xml:space="preserve">de </w:t>
      </w:r>
      <w:proofErr w:type="spellStart"/>
      <w:r>
        <w:rPr>
          <w:i/>
        </w:rPr>
        <w:t>minimis</w:t>
      </w:r>
      <w:proofErr w:type="spellEnd"/>
      <w:r>
        <w:t xml:space="preserve"> di cui al Reg. 1407/2013 </w:t>
      </w:r>
      <w:r>
        <w:rPr>
          <w:u w:val="single"/>
        </w:rPr>
        <w:t>non</w:t>
      </w:r>
      <w:r>
        <w:t xml:space="preserve"> è applicabile: </w:t>
      </w:r>
    </w:p>
    <w:p w:rsidR="001D7D2B" w:rsidRDefault="0054312F">
      <w:pPr>
        <w:numPr>
          <w:ilvl w:val="1"/>
          <w:numId w:val="1"/>
        </w:numPr>
        <w:spacing w:after="30" w:line="249" w:lineRule="auto"/>
        <w:ind w:hanging="360"/>
        <w:jc w:val="both"/>
      </w:pPr>
      <w:r>
        <w:t>agli aiuti concessi a imprese operanti nel settore della pesca e dell’acquacoltura</w:t>
      </w:r>
      <w:r>
        <w:rPr>
          <w:vertAlign w:val="superscript"/>
        </w:rPr>
        <w:footnoteReference w:id="6"/>
      </w:r>
      <w:r>
        <w:t xml:space="preserve"> per i quali esiste una disciplina </w:t>
      </w:r>
      <w:r>
        <w:rPr>
          <w:i/>
        </w:rPr>
        <w:t xml:space="preserve">de </w:t>
      </w:r>
      <w:proofErr w:type="spellStart"/>
      <w:r>
        <w:rPr>
          <w:i/>
        </w:rPr>
        <w:t>minimis</w:t>
      </w:r>
      <w:proofErr w:type="spellEnd"/>
      <w:r>
        <w:t xml:space="preserve"> ad hoc (Reg. 717/2014); </w:t>
      </w:r>
    </w:p>
    <w:p w:rsidR="001D7D2B" w:rsidRDefault="0054312F">
      <w:pPr>
        <w:numPr>
          <w:ilvl w:val="1"/>
          <w:numId w:val="1"/>
        </w:numPr>
        <w:spacing w:after="33" w:line="249" w:lineRule="auto"/>
        <w:ind w:hanging="360"/>
        <w:jc w:val="both"/>
      </w:pPr>
      <w:r>
        <w:t>agli aiuti concessi a imprese operanti nel settore della produzione primaria dei prodotti agricoli</w:t>
      </w:r>
      <w:r>
        <w:rPr>
          <w:vertAlign w:val="superscript"/>
        </w:rPr>
        <w:footnoteReference w:id="7"/>
      </w:r>
      <w:r>
        <w:t xml:space="preserve"> per i quali esiste una disciplina </w:t>
      </w:r>
      <w:r>
        <w:rPr>
          <w:i/>
        </w:rPr>
        <w:t xml:space="preserve">de </w:t>
      </w:r>
      <w:proofErr w:type="spellStart"/>
      <w:r>
        <w:rPr>
          <w:i/>
        </w:rPr>
        <w:t>minimis</w:t>
      </w:r>
      <w:proofErr w:type="spellEnd"/>
      <w:r>
        <w:t xml:space="preserve"> ad hoc (Reg. 1408/2013); </w:t>
      </w:r>
    </w:p>
    <w:p w:rsidR="001D7D2B" w:rsidRDefault="0054312F">
      <w:pPr>
        <w:numPr>
          <w:ilvl w:val="1"/>
          <w:numId w:val="1"/>
        </w:numPr>
        <w:spacing w:after="66" w:line="249" w:lineRule="auto"/>
        <w:ind w:hanging="360"/>
        <w:jc w:val="both"/>
      </w:pPr>
      <w:r>
        <w:t>agli aiuti con</w:t>
      </w:r>
      <w:r>
        <w:t>cessi a imprese operanti nel settore della trasformazione e commercializzazione di prodotti agricoli</w:t>
      </w:r>
      <w:r>
        <w:rPr>
          <w:vertAlign w:val="superscript"/>
        </w:rPr>
        <w:t>7</w:t>
      </w:r>
      <w:r>
        <w:t>, quando l’importo dell’aiuto è fissato in base al prezzo o al quantitativo di tali prodotti acquistati da produttori primari o immessi sul mercato dalle i</w:t>
      </w:r>
      <w:r>
        <w:t xml:space="preserve">mprese interessate, oppure quando l’aiuto è subordinato al fatto di venire parzialmente o interamente trasferito a produttori primari; </w:t>
      </w:r>
    </w:p>
    <w:p w:rsidR="001D7D2B" w:rsidRDefault="0054312F">
      <w:pPr>
        <w:numPr>
          <w:ilvl w:val="1"/>
          <w:numId w:val="1"/>
        </w:numPr>
        <w:spacing w:after="35" w:line="249" w:lineRule="auto"/>
        <w:ind w:hanging="360"/>
        <w:jc w:val="both"/>
      </w:pPr>
      <w:r>
        <w:t>agli aiuti all’esportazione (si intendono tali quelli direttamente legati alle quantità esportate, alla costituzione e a</w:t>
      </w:r>
      <w:r>
        <w:t xml:space="preserve">l funzionamento di una rete di distribuzione o alle spese correnti connesse all’attività di esportazione; non rientrano normalmente negli aiuti all’esportazione gli aiuti inerenti ai costi di partecipazione a fiere commerciali o quelli per studi o servizi </w:t>
      </w:r>
      <w:r>
        <w:t xml:space="preserve">di consulenza, necessari per il lancio di un nuovo prodotto o di un prodotto già esistente su un nuovo mercato); </w:t>
      </w:r>
    </w:p>
    <w:p w:rsidR="001D7D2B" w:rsidRDefault="0054312F">
      <w:pPr>
        <w:numPr>
          <w:ilvl w:val="1"/>
          <w:numId w:val="1"/>
        </w:numPr>
        <w:spacing w:after="4" w:line="249" w:lineRule="auto"/>
        <w:ind w:hanging="360"/>
        <w:jc w:val="both"/>
      </w:pPr>
      <w:r>
        <w:t xml:space="preserve">agli aiuti subordinati all’impiego preferenziale di prodotti interni rispetto ai prodotti d’importazione; </w:t>
      </w:r>
    </w:p>
    <w:p w:rsidR="001D7D2B" w:rsidRDefault="0054312F">
      <w:pPr>
        <w:numPr>
          <w:ilvl w:val="1"/>
          <w:numId w:val="1"/>
        </w:numPr>
        <w:spacing w:after="4" w:line="249" w:lineRule="auto"/>
        <w:ind w:hanging="360"/>
        <w:jc w:val="both"/>
      </w:pPr>
      <w:r>
        <w:t>agli aiuti “non trasparenti”</w:t>
      </w:r>
      <w:r>
        <w:rPr>
          <w:vertAlign w:val="superscript"/>
        </w:rPr>
        <w:footnoteReference w:id="8"/>
      </w:r>
      <w:r>
        <w:t xml:space="preserve">; </w:t>
      </w:r>
    </w:p>
    <w:p w:rsidR="001D7D2B" w:rsidRDefault="001D7D2B">
      <w:pPr>
        <w:spacing w:after="0" w:line="256" w:lineRule="auto"/>
      </w:pPr>
    </w:p>
    <w:p w:rsidR="001D7D2B" w:rsidRDefault="0054312F">
      <w:pPr>
        <w:numPr>
          <w:ilvl w:val="0"/>
          <w:numId w:val="1"/>
        </w:numPr>
        <w:spacing w:after="4" w:line="249" w:lineRule="auto"/>
        <w:ind w:hanging="710"/>
        <w:jc w:val="both"/>
      </w:pPr>
      <w:r>
        <w:t>ch</w:t>
      </w:r>
      <w:r>
        <w:t xml:space="preserve">e nel caso in cui la concessione di nuovi aiuti </w:t>
      </w:r>
      <w:r>
        <w:rPr>
          <w:i/>
        </w:rPr>
        <w:t xml:space="preserve">de </w:t>
      </w:r>
      <w:proofErr w:type="spellStart"/>
      <w:r>
        <w:rPr>
          <w:i/>
        </w:rPr>
        <w:t>minimis</w:t>
      </w:r>
      <w:proofErr w:type="spellEnd"/>
      <w:r>
        <w:t xml:space="preserve"> comporti il superamento della soglia di € 200.000,00 (€ 100.000,00 se l’impresa opera nel settore del trasporto di merci su strada per conto terzi), nessuna delle nuove misure di aiuto può benefici</w:t>
      </w:r>
      <w:r>
        <w:t xml:space="preserve">are della disciplina del Reg. </w:t>
      </w:r>
      <w:r>
        <w:rPr>
          <w:i/>
        </w:rPr>
        <w:t xml:space="preserve">de </w:t>
      </w:r>
      <w:proofErr w:type="spellStart"/>
      <w:r>
        <w:rPr>
          <w:i/>
        </w:rPr>
        <w:t>minimis</w:t>
      </w:r>
      <w:proofErr w:type="spellEnd"/>
      <w:r>
        <w:t xml:space="preserve"> 1407/2013;  </w:t>
      </w:r>
    </w:p>
    <w:p w:rsidR="001D7D2B" w:rsidRDefault="001D7D2B">
      <w:pPr>
        <w:spacing w:after="0" w:line="240" w:lineRule="auto"/>
        <w:ind w:right="3"/>
      </w:pPr>
    </w:p>
    <w:p w:rsidR="001D7D2B" w:rsidRDefault="0054312F">
      <w:pPr>
        <w:spacing w:after="0" w:line="240" w:lineRule="auto"/>
        <w:ind w:right="3"/>
      </w:pPr>
      <w:r>
        <w:rPr>
          <w:b/>
        </w:rPr>
        <w:t xml:space="preserve">consapevole delle sanzioni penali, nel caso di dichiarazioni non veritiere, di formazione o uso di atti falsi richiamate dall’art. 76 del D.P.R. 445 del 28 dicembre 2000, </w:t>
      </w:r>
    </w:p>
    <w:p w:rsidR="001D7D2B" w:rsidRDefault="001D7D2B">
      <w:pPr>
        <w:spacing w:after="22" w:line="256" w:lineRule="auto"/>
        <w:rPr>
          <w:sz w:val="20"/>
          <w:szCs w:val="20"/>
        </w:rPr>
      </w:pPr>
    </w:p>
    <w:p w:rsidR="001D7D2B" w:rsidRDefault="0054312F">
      <w:pPr>
        <w:pStyle w:val="Titolo1"/>
        <w:ind w:right="8"/>
        <w:rPr>
          <w:rFonts w:ascii="Calibri" w:eastAsia="Calibri" w:hAnsi="Calibri" w:cs="Calibri"/>
        </w:rPr>
      </w:pPr>
      <w:r>
        <w:rPr>
          <w:rFonts w:ascii="Calibri" w:eastAsia="Calibri" w:hAnsi="Calibri" w:cs="Calibri"/>
        </w:rPr>
        <w:t>DICHIARA</w:t>
      </w:r>
    </w:p>
    <w:p w:rsidR="001D7D2B" w:rsidRDefault="001D7D2B">
      <w:pPr>
        <w:spacing w:after="0" w:line="256" w:lineRule="auto"/>
      </w:pPr>
    </w:p>
    <w:p w:rsidR="001D7D2B" w:rsidRDefault="0054312F">
      <w:pPr>
        <w:spacing w:line="360" w:lineRule="auto"/>
        <w:ind w:left="-5"/>
        <w:rPr>
          <w:sz w:val="24"/>
          <w:szCs w:val="24"/>
        </w:rPr>
      </w:pPr>
      <w:r>
        <w:rPr>
          <w:sz w:val="24"/>
          <w:szCs w:val="24"/>
        </w:rPr>
        <w:lastRenderedPageBreak/>
        <w:t xml:space="preserve">che l’organizzazione congiuntamente con altre </w:t>
      </w:r>
      <w:proofErr w:type="spellStart"/>
      <w:r>
        <w:rPr>
          <w:sz w:val="24"/>
          <w:szCs w:val="24"/>
        </w:rPr>
        <w:t>organizzazioniad</w:t>
      </w:r>
      <w:proofErr w:type="spellEnd"/>
      <w:r>
        <w:rPr>
          <w:sz w:val="24"/>
          <w:szCs w:val="24"/>
        </w:rPr>
        <w:t xml:space="preserve"> essa eventualmente collegate nell’ambito del concetto di “impresa unica”, non ha beneficiato, nell’esercizio finanziario in questione nonché nei due esercizi finanziari precedenti, di contribut</w:t>
      </w:r>
      <w:r>
        <w:rPr>
          <w:sz w:val="24"/>
          <w:szCs w:val="24"/>
        </w:rPr>
        <w:t xml:space="preserve">i pubblici, percepiti a titolo di aiuti </w:t>
      </w:r>
      <w:r>
        <w:rPr>
          <w:i/>
          <w:sz w:val="24"/>
          <w:szCs w:val="24"/>
        </w:rPr>
        <w:t xml:space="preserve">de </w:t>
      </w:r>
      <w:proofErr w:type="spellStart"/>
      <w:r>
        <w:rPr>
          <w:i/>
          <w:sz w:val="24"/>
          <w:szCs w:val="24"/>
        </w:rPr>
        <w:t>minimis</w:t>
      </w:r>
      <w:proofErr w:type="spellEnd"/>
      <w:r>
        <w:rPr>
          <w:i/>
          <w:sz w:val="24"/>
          <w:szCs w:val="24"/>
        </w:rPr>
        <w:t xml:space="preserve"> </w:t>
      </w:r>
      <w:r>
        <w:rPr>
          <w:sz w:val="24"/>
          <w:szCs w:val="24"/>
        </w:rPr>
        <w:t xml:space="preserve">ai sensi del Regolamento (UE) n. 1407/2013 e di altri regolamenti </w:t>
      </w:r>
      <w:r>
        <w:rPr>
          <w:i/>
          <w:sz w:val="24"/>
          <w:szCs w:val="24"/>
        </w:rPr>
        <w:t xml:space="preserve">de </w:t>
      </w:r>
      <w:proofErr w:type="spellStart"/>
      <w:r>
        <w:rPr>
          <w:i/>
          <w:sz w:val="24"/>
          <w:szCs w:val="24"/>
        </w:rPr>
        <w:t>minimis</w:t>
      </w:r>
      <w:proofErr w:type="spellEnd"/>
      <w:r>
        <w:rPr>
          <w:sz w:val="24"/>
          <w:szCs w:val="24"/>
        </w:rPr>
        <w:t xml:space="preserve">, per un importo superiore a € 200.000,00 (€ 100.000,00 se l’impresa opera nel settore del trasporto di merci su strada per conto terzi), in quanto: </w:t>
      </w:r>
    </w:p>
    <w:p w:rsidR="001D7D2B" w:rsidRDefault="001D7D2B">
      <w:pPr>
        <w:spacing w:after="0" w:line="360" w:lineRule="auto"/>
        <w:rPr>
          <w:sz w:val="24"/>
          <w:szCs w:val="24"/>
        </w:rPr>
      </w:pPr>
    </w:p>
    <w:p w:rsidR="001D7D2B" w:rsidRDefault="0054312F">
      <w:pPr>
        <w:spacing w:line="360" w:lineRule="auto"/>
        <w:ind w:left="-5"/>
        <w:rPr>
          <w:sz w:val="24"/>
          <w:szCs w:val="24"/>
        </w:rPr>
      </w:pPr>
      <w:r>
        <w:rPr>
          <w:sz w:val="24"/>
          <w:szCs w:val="24"/>
        </w:rPr>
        <w:t xml:space="preserve">[ ] - l’impresa non ha percepito aiuti pubblici in </w:t>
      </w:r>
      <w:r>
        <w:rPr>
          <w:i/>
          <w:sz w:val="24"/>
          <w:szCs w:val="24"/>
        </w:rPr>
        <w:t xml:space="preserve">de </w:t>
      </w:r>
      <w:proofErr w:type="spellStart"/>
      <w:r>
        <w:rPr>
          <w:i/>
          <w:sz w:val="24"/>
          <w:szCs w:val="24"/>
        </w:rPr>
        <w:t>minimis</w:t>
      </w:r>
      <w:proofErr w:type="spellEnd"/>
      <w:r>
        <w:rPr>
          <w:i/>
          <w:sz w:val="24"/>
          <w:szCs w:val="24"/>
        </w:rPr>
        <w:t xml:space="preserve"> </w:t>
      </w:r>
      <w:r>
        <w:rPr>
          <w:sz w:val="24"/>
          <w:szCs w:val="24"/>
        </w:rPr>
        <w:t xml:space="preserve">nel corso del periodo sopra indicato </w:t>
      </w:r>
    </w:p>
    <w:p w:rsidR="001D7D2B" w:rsidRDefault="001D7D2B">
      <w:pPr>
        <w:spacing w:line="360" w:lineRule="auto"/>
        <w:ind w:left="4526" w:right="4545" w:hanging="4541"/>
        <w:rPr>
          <w:sz w:val="24"/>
          <w:szCs w:val="24"/>
        </w:rPr>
      </w:pPr>
    </w:p>
    <w:p w:rsidR="001D7D2B" w:rsidRDefault="0054312F">
      <w:pPr>
        <w:spacing w:line="360" w:lineRule="auto"/>
        <w:ind w:left="4526" w:right="4545" w:hanging="4541"/>
        <w:rPr>
          <w:sz w:val="24"/>
          <w:szCs w:val="24"/>
        </w:rPr>
      </w:pPr>
      <w:r>
        <w:rPr>
          <w:sz w:val="24"/>
          <w:szCs w:val="24"/>
        </w:rPr>
        <w:t>oppu</w:t>
      </w:r>
      <w:r>
        <w:rPr>
          <w:sz w:val="24"/>
          <w:szCs w:val="24"/>
        </w:rPr>
        <w:t xml:space="preserve">re </w:t>
      </w:r>
    </w:p>
    <w:p w:rsidR="001D7D2B" w:rsidRDefault="001D7D2B">
      <w:pPr>
        <w:spacing w:after="0" w:line="360" w:lineRule="auto"/>
        <w:rPr>
          <w:sz w:val="24"/>
          <w:szCs w:val="24"/>
        </w:rPr>
      </w:pPr>
    </w:p>
    <w:p w:rsidR="001D7D2B" w:rsidRDefault="0054312F">
      <w:pPr>
        <w:spacing w:line="360" w:lineRule="auto"/>
        <w:ind w:left="-5"/>
        <w:rPr>
          <w:sz w:val="24"/>
          <w:szCs w:val="24"/>
        </w:rPr>
      </w:pPr>
      <w:r>
        <w:rPr>
          <w:sz w:val="24"/>
          <w:szCs w:val="24"/>
        </w:rPr>
        <w:t xml:space="preserve">[ ] – nel corso del periodo sopra indicato la suddetta impresa ha beneficiato solo dei seguenti aiuti </w:t>
      </w:r>
      <w:r>
        <w:rPr>
          <w:i/>
          <w:sz w:val="24"/>
          <w:szCs w:val="24"/>
        </w:rPr>
        <w:t xml:space="preserve">de </w:t>
      </w:r>
      <w:proofErr w:type="spellStart"/>
      <w:r>
        <w:rPr>
          <w:i/>
          <w:sz w:val="24"/>
          <w:szCs w:val="24"/>
        </w:rPr>
        <w:t>minimis</w:t>
      </w:r>
      <w:proofErr w:type="spellEnd"/>
      <w:r>
        <w:rPr>
          <w:sz w:val="24"/>
          <w:szCs w:val="24"/>
        </w:rPr>
        <w:t xml:space="preserve">: </w:t>
      </w:r>
    </w:p>
    <w:p w:rsidR="001D7D2B" w:rsidRDefault="001D7D2B">
      <w:pPr>
        <w:spacing w:after="0" w:line="256" w:lineRule="auto"/>
        <w:rPr>
          <w:sz w:val="20"/>
          <w:szCs w:val="20"/>
        </w:rPr>
      </w:pPr>
    </w:p>
    <w:p w:rsidR="001D7D2B" w:rsidRDefault="001D7D2B">
      <w:pPr>
        <w:spacing w:after="0" w:line="256" w:lineRule="auto"/>
      </w:pPr>
    </w:p>
    <w:tbl>
      <w:tblPr>
        <w:tblStyle w:val="a0"/>
        <w:tblW w:w="97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78"/>
        <w:gridCol w:w="1541"/>
        <w:gridCol w:w="2065"/>
        <w:gridCol w:w="1699"/>
        <w:gridCol w:w="1699"/>
        <w:gridCol w:w="1696"/>
      </w:tblGrid>
      <w:tr w:rsidR="001D7D2B">
        <w:trPr>
          <w:cantSplit/>
          <w:tblHeader/>
          <w:jc w:val="center"/>
        </w:trPr>
        <w:tc>
          <w:tcPr>
            <w:tcW w:w="1078" w:type="dxa"/>
            <w:tcBorders>
              <w:top w:val="single" w:sz="4" w:space="0" w:color="000000"/>
              <w:left w:val="single" w:sz="4" w:space="0" w:color="000000"/>
              <w:bottom w:val="single" w:sz="4" w:space="0" w:color="000000"/>
              <w:right w:val="single" w:sz="4" w:space="0" w:color="000000"/>
            </w:tcBorders>
            <w:vAlign w:val="center"/>
          </w:tcPr>
          <w:p w:rsidR="001D7D2B" w:rsidRDefault="0054312F">
            <w:pPr>
              <w:spacing w:after="0" w:line="240" w:lineRule="auto"/>
              <w:jc w:val="center"/>
              <w:rPr>
                <w:b/>
                <w:sz w:val="24"/>
                <w:szCs w:val="24"/>
              </w:rPr>
            </w:pPr>
            <w:r>
              <w:rPr>
                <w:b/>
                <w:sz w:val="24"/>
                <w:szCs w:val="24"/>
              </w:rPr>
              <w:t xml:space="preserve">Impresa cui è stato concesso il de </w:t>
            </w:r>
            <w:proofErr w:type="spellStart"/>
            <w:r>
              <w:rPr>
                <w:b/>
                <w:sz w:val="24"/>
                <w:szCs w:val="24"/>
              </w:rPr>
              <w:t>minimis</w:t>
            </w:r>
            <w:proofErr w:type="spellEnd"/>
          </w:p>
        </w:tc>
        <w:tc>
          <w:tcPr>
            <w:tcW w:w="1541" w:type="dxa"/>
            <w:tcBorders>
              <w:top w:val="single" w:sz="4" w:space="0" w:color="000000"/>
              <w:left w:val="single" w:sz="4" w:space="0" w:color="000000"/>
              <w:bottom w:val="single" w:sz="4" w:space="0" w:color="000000"/>
              <w:right w:val="single" w:sz="4" w:space="0" w:color="000000"/>
            </w:tcBorders>
            <w:vAlign w:val="center"/>
          </w:tcPr>
          <w:p w:rsidR="001D7D2B" w:rsidRDefault="0054312F">
            <w:pPr>
              <w:spacing w:after="0" w:line="240" w:lineRule="auto"/>
              <w:jc w:val="center"/>
              <w:rPr>
                <w:b/>
                <w:sz w:val="24"/>
                <w:szCs w:val="24"/>
              </w:rPr>
            </w:pPr>
            <w:r>
              <w:rPr>
                <w:b/>
                <w:sz w:val="24"/>
                <w:szCs w:val="24"/>
              </w:rPr>
              <w:t>Esercizio</w:t>
            </w:r>
          </w:p>
          <w:p w:rsidR="001D7D2B" w:rsidRDefault="0054312F">
            <w:pPr>
              <w:spacing w:after="0" w:line="240" w:lineRule="auto"/>
              <w:jc w:val="center"/>
              <w:rPr>
                <w:b/>
                <w:sz w:val="24"/>
                <w:szCs w:val="24"/>
              </w:rPr>
            </w:pPr>
            <w:r>
              <w:rPr>
                <w:b/>
                <w:sz w:val="24"/>
                <w:szCs w:val="24"/>
              </w:rPr>
              <w:t>Finanziario</w:t>
            </w:r>
          </w:p>
          <w:p w:rsidR="001D7D2B" w:rsidRDefault="001D7D2B">
            <w:pPr>
              <w:spacing w:after="0" w:line="240" w:lineRule="auto"/>
              <w:jc w:val="both"/>
              <w:rPr>
                <w:b/>
                <w:sz w:val="24"/>
                <w:szCs w:val="24"/>
              </w:rPr>
            </w:pPr>
          </w:p>
        </w:tc>
        <w:tc>
          <w:tcPr>
            <w:tcW w:w="2065" w:type="dxa"/>
            <w:tcBorders>
              <w:top w:val="single" w:sz="4" w:space="0" w:color="000000"/>
              <w:left w:val="single" w:sz="4" w:space="0" w:color="000000"/>
              <w:bottom w:val="single" w:sz="4" w:space="0" w:color="000000"/>
              <w:right w:val="single" w:sz="4" w:space="0" w:color="000000"/>
            </w:tcBorders>
            <w:vAlign w:val="center"/>
          </w:tcPr>
          <w:p w:rsidR="001D7D2B" w:rsidRDefault="0054312F">
            <w:pPr>
              <w:spacing w:after="0" w:line="240" w:lineRule="auto"/>
              <w:jc w:val="center"/>
              <w:rPr>
                <w:b/>
                <w:sz w:val="24"/>
                <w:szCs w:val="24"/>
              </w:rPr>
            </w:pPr>
            <w:r>
              <w:rPr>
                <w:b/>
                <w:sz w:val="24"/>
                <w:szCs w:val="24"/>
              </w:rPr>
              <w:t>Organismo</w:t>
            </w:r>
          </w:p>
          <w:p w:rsidR="001D7D2B" w:rsidRDefault="0054312F">
            <w:pPr>
              <w:spacing w:after="0" w:line="240" w:lineRule="auto"/>
              <w:jc w:val="center"/>
              <w:rPr>
                <w:b/>
                <w:sz w:val="24"/>
                <w:szCs w:val="24"/>
              </w:rPr>
            </w:pPr>
            <w:r>
              <w:rPr>
                <w:b/>
                <w:sz w:val="24"/>
                <w:szCs w:val="24"/>
              </w:rPr>
              <w:t>concedente</w:t>
            </w:r>
          </w:p>
        </w:tc>
        <w:tc>
          <w:tcPr>
            <w:tcW w:w="1699" w:type="dxa"/>
            <w:tcBorders>
              <w:top w:val="single" w:sz="4" w:space="0" w:color="000000"/>
              <w:left w:val="single" w:sz="4" w:space="0" w:color="000000"/>
              <w:bottom w:val="single" w:sz="4" w:space="0" w:color="000000"/>
              <w:right w:val="single" w:sz="4" w:space="0" w:color="000000"/>
            </w:tcBorders>
            <w:vAlign w:val="center"/>
          </w:tcPr>
          <w:p w:rsidR="001D7D2B" w:rsidRDefault="0054312F">
            <w:pPr>
              <w:spacing w:after="0" w:line="240" w:lineRule="auto"/>
              <w:jc w:val="center"/>
              <w:rPr>
                <w:b/>
                <w:sz w:val="24"/>
                <w:szCs w:val="24"/>
              </w:rPr>
            </w:pPr>
            <w:r>
              <w:rPr>
                <w:b/>
                <w:sz w:val="24"/>
                <w:szCs w:val="24"/>
              </w:rPr>
              <w:t>Provvedimento di concessione e data</w:t>
            </w:r>
          </w:p>
        </w:tc>
        <w:tc>
          <w:tcPr>
            <w:tcW w:w="1699" w:type="dxa"/>
            <w:tcBorders>
              <w:top w:val="single" w:sz="4" w:space="0" w:color="000000"/>
              <w:left w:val="single" w:sz="4" w:space="0" w:color="000000"/>
              <w:bottom w:val="single" w:sz="4" w:space="0" w:color="000000"/>
              <w:right w:val="single" w:sz="4" w:space="0" w:color="000000"/>
            </w:tcBorders>
            <w:vAlign w:val="center"/>
          </w:tcPr>
          <w:p w:rsidR="001D7D2B" w:rsidRDefault="0054312F">
            <w:pPr>
              <w:spacing w:after="0" w:line="240" w:lineRule="auto"/>
              <w:jc w:val="center"/>
              <w:rPr>
                <w:b/>
                <w:sz w:val="24"/>
                <w:szCs w:val="24"/>
              </w:rPr>
            </w:pPr>
            <w:r>
              <w:rPr>
                <w:b/>
                <w:sz w:val="24"/>
                <w:szCs w:val="24"/>
              </w:rPr>
              <w:t xml:space="preserve">Reg. UE de </w:t>
            </w:r>
            <w:proofErr w:type="spellStart"/>
            <w:r>
              <w:rPr>
                <w:b/>
                <w:sz w:val="24"/>
                <w:szCs w:val="24"/>
              </w:rPr>
              <w:t>minimis</w:t>
            </w:r>
            <w:proofErr w:type="spellEnd"/>
            <w:r>
              <w:rPr>
                <w:rFonts w:ascii="Times New Roman" w:eastAsia="Times New Roman" w:hAnsi="Times New Roman" w:cs="Times New Roman"/>
                <w:b/>
                <w:sz w:val="26"/>
                <w:szCs w:val="26"/>
                <w:vertAlign w:val="superscript"/>
              </w:rPr>
              <w:footnoteReference w:id="9"/>
            </w:r>
          </w:p>
        </w:tc>
        <w:tc>
          <w:tcPr>
            <w:tcW w:w="1696" w:type="dxa"/>
            <w:tcBorders>
              <w:top w:val="single" w:sz="4" w:space="0" w:color="000000"/>
              <w:left w:val="single" w:sz="4" w:space="0" w:color="000000"/>
              <w:bottom w:val="single" w:sz="4" w:space="0" w:color="000000"/>
              <w:right w:val="single" w:sz="4" w:space="0" w:color="000000"/>
            </w:tcBorders>
            <w:vAlign w:val="center"/>
          </w:tcPr>
          <w:p w:rsidR="001D7D2B" w:rsidRDefault="0054312F">
            <w:pPr>
              <w:spacing w:after="0" w:line="240" w:lineRule="auto"/>
              <w:jc w:val="center"/>
              <w:rPr>
                <w:b/>
                <w:sz w:val="24"/>
                <w:szCs w:val="24"/>
              </w:rPr>
            </w:pPr>
            <w:r>
              <w:rPr>
                <w:b/>
                <w:sz w:val="24"/>
                <w:szCs w:val="24"/>
              </w:rPr>
              <w:t>Importo della sovvenzione e/o equivalente lordo della sovvenzione (ESL)</w:t>
            </w:r>
          </w:p>
        </w:tc>
      </w:tr>
      <w:tr w:rsidR="001D7D2B">
        <w:trPr>
          <w:cantSplit/>
          <w:tblHeader/>
          <w:jc w:val="center"/>
        </w:trPr>
        <w:tc>
          <w:tcPr>
            <w:tcW w:w="1078"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541"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6"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r>
      <w:tr w:rsidR="001D7D2B">
        <w:trPr>
          <w:cantSplit/>
          <w:tblHeader/>
          <w:jc w:val="center"/>
        </w:trPr>
        <w:tc>
          <w:tcPr>
            <w:tcW w:w="1078"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541"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6"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r>
      <w:tr w:rsidR="001D7D2B">
        <w:trPr>
          <w:cantSplit/>
          <w:tblHeader/>
          <w:jc w:val="center"/>
        </w:trPr>
        <w:tc>
          <w:tcPr>
            <w:tcW w:w="1078"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541"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6"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r>
      <w:tr w:rsidR="001D7D2B">
        <w:trPr>
          <w:cantSplit/>
          <w:tblHeader/>
          <w:jc w:val="center"/>
        </w:trPr>
        <w:tc>
          <w:tcPr>
            <w:tcW w:w="1078"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541"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6"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r>
      <w:tr w:rsidR="001D7D2B">
        <w:trPr>
          <w:cantSplit/>
          <w:tblHeader/>
          <w:jc w:val="center"/>
        </w:trPr>
        <w:tc>
          <w:tcPr>
            <w:tcW w:w="1078"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541"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6"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r>
      <w:tr w:rsidR="001D7D2B">
        <w:trPr>
          <w:cantSplit/>
          <w:tblHeader/>
          <w:jc w:val="center"/>
        </w:trPr>
        <w:tc>
          <w:tcPr>
            <w:tcW w:w="1078"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rPr>
                <w:sz w:val="24"/>
                <w:szCs w:val="24"/>
              </w:rPr>
            </w:pPr>
          </w:p>
        </w:tc>
        <w:tc>
          <w:tcPr>
            <w:tcW w:w="1541"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2065"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jc w:val="center"/>
              <w:rPr>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1D7D2B" w:rsidRDefault="001D7D2B">
            <w:pPr>
              <w:spacing w:after="0" w:line="240" w:lineRule="auto"/>
              <w:rPr>
                <w:sz w:val="24"/>
                <w:szCs w:val="24"/>
              </w:rPr>
            </w:pPr>
          </w:p>
        </w:tc>
        <w:tc>
          <w:tcPr>
            <w:tcW w:w="1696" w:type="dxa"/>
            <w:tcBorders>
              <w:top w:val="single" w:sz="4" w:space="0" w:color="000000"/>
              <w:left w:val="single" w:sz="4" w:space="0" w:color="000000"/>
              <w:bottom w:val="single" w:sz="4" w:space="0" w:color="000000"/>
              <w:right w:val="single" w:sz="4" w:space="0" w:color="000000"/>
            </w:tcBorders>
          </w:tcPr>
          <w:p w:rsidR="001D7D2B" w:rsidRDefault="0054312F">
            <w:pPr>
              <w:spacing w:after="0" w:line="240" w:lineRule="auto"/>
              <w:rPr>
                <w:sz w:val="24"/>
                <w:szCs w:val="24"/>
              </w:rPr>
            </w:pPr>
            <w:r>
              <w:rPr>
                <w:sz w:val="24"/>
                <w:szCs w:val="24"/>
              </w:rPr>
              <w:t>Totale</w:t>
            </w:r>
          </w:p>
        </w:tc>
      </w:tr>
    </w:tbl>
    <w:p w:rsidR="001D7D2B" w:rsidRDefault="001D7D2B">
      <w:pPr>
        <w:spacing w:after="0" w:line="256" w:lineRule="auto"/>
        <w:rPr>
          <w:color w:val="000000"/>
          <w:sz w:val="20"/>
          <w:szCs w:val="20"/>
        </w:rPr>
      </w:pPr>
    </w:p>
    <w:p w:rsidR="001D7D2B" w:rsidRDefault="0054312F">
      <w:pPr>
        <w:spacing w:after="0" w:line="256" w:lineRule="auto"/>
        <w:rPr>
          <w:sz w:val="24"/>
          <w:szCs w:val="24"/>
        </w:rPr>
      </w:pPr>
      <w:r>
        <w:rPr>
          <w:sz w:val="24"/>
          <w:szCs w:val="24"/>
        </w:rPr>
        <w:t>Il sottoscritto dichiara altresì:</w:t>
      </w:r>
    </w:p>
    <w:p w:rsidR="001D7D2B" w:rsidRDefault="0054312F">
      <w:pPr>
        <w:numPr>
          <w:ilvl w:val="0"/>
          <w:numId w:val="2"/>
        </w:numPr>
        <w:spacing w:after="0" w:line="256" w:lineRule="auto"/>
        <w:jc w:val="both"/>
        <w:rPr>
          <w:sz w:val="24"/>
          <w:szCs w:val="24"/>
        </w:rPr>
      </w:pPr>
      <w:r>
        <w:rPr>
          <w:sz w:val="24"/>
          <w:szCs w:val="24"/>
        </w:rPr>
        <w:t xml:space="preserve">di impegnarsi a comunicare tempestivamente alla Città di Torino ulteriori contributi/agevolazioni che saranno eventualmente concessi all'impresa prima dell’eventuale comunicazione di ammissione alle agevolazioni; </w:t>
      </w:r>
    </w:p>
    <w:p w:rsidR="001D7D2B" w:rsidRDefault="0054312F">
      <w:pPr>
        <w:numPr>
          <w:ilvl w:val="0"/>
          <w:numId w:val="2"/>
        </w:numPr>
        <w:spacing w:after="0" w:line="256" w:lineRule="auto"/>
        <w:jc w:val="both"/>
        <w:rPr>
          <w:sz w:val="24"/>
          <w:szCs w:val="24"/>
        </w:rPr>
      </w:pPr>
      <w:r>
        <w:rPr>
          <w:sz w:val="24"/>
          <w:szCs w:val="24"/>
        </w:rPr>
        <w:t>che l’esercizio finanziario, da intendersi</w:t>
      </w:r>
      <w:r>
        <w:rPr>
          <w:sz w:val="24"/>
          <w:szCs w:val="24"/>
        </w:rPr>
        <w:t xml:space="preserve"> quale periodo d’imposta, coincide con il seguente periodo (specificare date di inizio e fine);</w:t>
      </w:r>
    </w:p>
    <w:p w:rsidR="001D7D2B" w:rsidRDefault="0054312F">
      <w:pPr>
        <w:numPr>
          <w:ilvl w:val="0"/>
          <w:numId w:val="2"/>
        </w:numPr>
        <w:spacing w:after="0" w:line="256" w:lineRule="auto"/>
        <w:rPr>
          <w:sz w:val="24"/>
          <w:szCs w:val="24"/>
        </w:rPr>
      </w:pPr>
      <w:r>
        <w:rPr>
          <w:sz w:val="24"/>
          <w:szCs w:val="24"/>
        </w:rPr>
        <w:lastRenderedPageBreak/>
        <w:t xml:space="preserve">che l’impresa svolge l’attività contraddistinta dal seguente </w:t>
      </w:r>
      <w:proofErr w:type="spellStart"/>
      <w:r>
        <w:rPr>
          <w:sz w:val="24"/>
          <w:szCs w:val="24"/>
        </w:rPr>
        <w:t>codiceATECO</w:t>
      </w:r>
      <w:proofErr w:type="spellEnd"/>
      <w:r>
        <w:rPr>
          <w:sz w:val="24"/>
          <w:szCs w:val="24"/>
        </w:rPr>
        <w:t xml:space="preserve"> _________________;</w:t>
      </w:r>
    </w:p>
    <w:p w:rsidR="001D7D2B" w:rsidRDefault="0054312F">
      <w:pPr>
        <w:numPr>
          <w:ilvl w:val="0"/>
          <w:numId w:val="2"/>
        </w:numPr>
        <w:spacing w:after="0" w:line="256" w:lineRule="auto"/>
        <w:jc w:val="both"/>
        <w:rPr>
          <w:sz w:val="24"/>
          <w:szCs w:val="24"/>
        </w:rPr>
      </w:pPr>
      <w:r>
        <w:rPr>
          <w:sz w:val="24"/>
          <w:szCs w:val="24"/>
        </w:rPr>
        <w:t>di non aver richiesto e/o ricevuto, per i medesimi costi ammissibili, ulteriori sovvenzioni pubbliche, o di origine pubblica a qualsiasi titolo accordate (principio del divieto di cumulo).</w:t>
      </w:r>
    </w:p>
    <w:p w:rsidR="001D7D2B" w:rsidRDefault="001D7D2B">
      <w:pPr>
        <w:spacing w:after="0" w:line="256" w:lineRule="auto"/>
        <w:rPr>
          <w:sz w:val="24"/>
          <w:szCs w:val="24"/>
        </w:rPr>
      </w:pPr>
    </w:p>
    <w:p w:rsidR="001D7D2B" w:rsidRDefault="001D7D2B">
      <w:pPr>
        <w:spacing w:after="0" w:line="256" w:lineRule="auto"/>
        <w:rPr>
          <w:sz w:val="24"/>
          <w:szCs w:val="24"/>
        </w:rPr>
      </w:pPr>
    </w:p>
    <w:p w:rsidR="001D7D2B" w:rsidRDefault="0054312F">
      <w:pPr>
        <w:ind w:left="-5"/>
        <w:jc w:val="both"/>
        <w:rPr>
          <w:sz w:val="24"/>
          <w:szCs w:val="24"/>
        </w:rPr>
      </w:pPr>
      <w:r>
        <w:rPr>
          <w:sz w:val="24"/>
          <w:szCs w:val="24"/>
        </w:rPr>
        <w:t xml:space="preserve">La suddetta organizzazione può pertanto beneficiare, quale aiuto </w:t>
      </w:r>
      <w:r>
        <w:rPr>
          <w:i/>
          <w:sz w:val="24"/>
          <w:szCs w:val="24"/>
        </w:rPr>
        <w:t xml:space="preserve">de </w:t>
      </w:r>
      <w:proofErr w:type="spellStart"/>
      <w:r>
        <w:rPr>
          <w:i/>
          <w:sz w:val="24"/>
          <w:szCs w:val="24"/>
        </w:rPr>
        <w:t>minimis</w:t>
      </w:r>
      <w:proofErr w:type="spellEnd"/>
      <w:r>
        <w:rPr>
          <w:sz w:val="24"/>
          <w:szCs w:val="24"/>
        </w:rPr>
        <w:t>, del contributo pubblico di euro ___________________ per l’iniziativa sopra evidenziata, senza la necessità che intervenga la preventiva autorizzazione al medesimo contributo da parte della Commissione Europea, il tutto in ossequio a quanto prev</w:t>
      </w:r>
      <w:r>
        <w:rPr>
          <w:sz w:val="24"/>
          <w:szCs w:val="24"/>
        </w:rPr>
        <w:t xml:space="preserve">isto dal menzionato Regolamento (UE) n. 1407/2013.  </w:t>
      </w:r>
    </w:p>
    <w:p w:rsidR="001D7D2B" w:rsidRDefault="0054312F">
      <w:pPr>
        <w:ind w:left="-5"/>
        <w:jc w:val="both"/>
        <w:rPr>
          <w:sz w:val="24"/>
          <w:szCs w:val="24"/>
        </w:rPr>
      </w:pPr>
      <w:r>
        <w:rPr>
          <w:sz w:val="24"/>
          <w:szCs w:val="24"/>
        </w:rPr>
        <w:t xml:space="preserve">Dichiara inoltre di essere informato, ai sensi del Regolamento (UE) 2016/679 del Parlamento Europeo e del Consiglio del 27 aprile 2016 in materia di protezione dei dati personali, che:  </w:t>
      </w:r>
    </w:p>
    <w:p w:rsidR="001D7D2B" w:rsidRDefault="0054312F">
      <w:pPr>
        <w:numPr>
          <w:ilvl w:val="1"/>
          <w:numId w:val="3"/>
        </w:numPr>
        <w:spacing w:after="4" w:line="249" w:lineRule="auto"/>
        <w:ind w:hanging="360"/>
        <w:jc w:val="both"/>
        <w:rPr>
          <w:sz w:val="24"/>
          <w:szCs w:val="24"/>
        </w:rPr>
      </w:pPr>
      <w:r>
        <w:rPr>
          <w:sz w:val="24"/>
          <w:szCs w:val="24"/>
        </w:rPr>
        <w:t>i dati personali</w:t>
      </w:r>
      <w:r>
        <w:rPr>
          <w:sz w:val="24"/>
          <w:szCs w:val="24"/>
        </w:rPr>
        <w:t xml:space="preserve"> raccolti saranno trattati, anche con strumenti informatici, nell’ambito e per le finalità del procedimento per il quale la presente dichiarazione viene resa ed in conformità ad obblighi previsti dalla legge, da un regolamento o dalla normativa comunitaria</w:t>
      </w:r>
      <w:r>
        <w:rPr>
          <w:sz w:val="24"/>
          <w:szCs w:val="24"/>
        </w:rPr>
        <w:t>; il relativo trattamento non richiede il consenso dell’interessato ai sensi del Regolamento (UE) 2016/679 del Parlamento Europeo e del Consiglio del 27 aprile 2016 in materia di protezione dei dati personali;</w:t>
      </w:r>
    </w:p>
    <w:p w:rsidR="001D7D2B" w:rsidRDefault="0054312F">
      <w:pPr>
        <w:numPr>
          <w:ilvl w:val="1"/>
          <w:numId w:val="3"/>
        </w:numPr>
        <w:spacing w:after="4" w:line="249" w:lineRule="auto"/>
        <w:ind w:hanging="360"/>
        <w:jc w:val="both"/>
        <w:rPr>
          <w:sz w:val="24"/>
          <w:szCs w:val="24"/>
        </w:rPr>
      </w:pPr>
      <w:r>
        <w:rPr>
          <w:sz w:val="24"/>
          <w:szCs w:val="24"/>
        </w:rPr>
        <w:t>il conferimento dei dati richiesti è obbligato</w:t>
      </w:r>
      <w:r>
        <w:rPr>
          <w:sz w:val="24"/>
          <w:szCs w:val="24"/>
        </w:rPr>
        <w:t xml:space="preserve">rio e il rifiuto di fornirli comporterà l’impossibilità di proseguire con la liquidazione del contributo; </w:t>
      </w:r>
    </w:p>
    <w:p w:rsidR="001D7D2B" w:rsidRDefault="0054312F">
      <w:pPr>
        <w:numPr>
          <w:ilvl w:val="1"/>
          <w:numId w:val="3"/>
        </w:numPr>
        <w:spacing w:after="4" w:line="249" w:lineRule="auto"/>
        <w:ind w:hanging="360"/>
        <w:jc w:val="both"/>
        <w:rPr>
          <w:sz w:val="24"/>
          <w:szCs w:val="24"/>
        </w:rPr>
      </w:pPr>
      <w:r>
        <w:rPr>
          <w:sz w:val="24"/>
          <w:szCs w:val="24"/>
        </w:rPr>
        <w:t xml:space="preserve">i dati raccolti potranno essere oggetto di comunicazione ad autorità pubbliche nazionali e dell’Unione Europea in conformità ad obblighi di legge; </w:t>
      </w:r>
    </w:p>
    <w:p w:rsidR="001D7D2B" w:rsidRDefault="0054312F">
      <w:pPr>
        <w:numPr>
          <w:ilvl w:val="1"/>
          <w:numId w:val="3"/>
        </w:numPr>
        <w:spacing w:after="4" w:line="249" w:lineRule="auto"/>
        <w:ind w:hanging="360"/>
        <w:jc w:val="both"/>
        <w:rPr>
          <w:sz w:val="24"/>
          <w:szCs w:val="24"/>
        </w:rPr>
      </w:pPr>
      <w:r>
        <w:rPr>
          <w:sz w:val="24"/>
          <w:szCs w:val="24"/>
        </w:rPr>
        <w:t>potranno essere esercitati i diritti specificatamente previsti ai sensi del Regolamento (UE) 2016/679 del Parlamento Europeo e del Consiglio del 27 aprile 2016 in materia di protezione dei dati personali;</w:t>
      </w:r>
    </w:p>
    <w:p w:rsidR="001D7D2B" w:rsidRDefault="0054312F">
      <w:pPr>
        <w:numPr>
          <w:ilvl w:val="1"/>
          <w:numId w:val="3"/>
        </w:numPr>
        <w:spacing w:after="4" w:line="249" w:lineRule="auto"/>
        <w:ind w:hanging="360"/>
        <w:jc w:val="both"/>
        <w:rPr>
          <w:sz w:val="24"/>
          <w:szCs w:val="24"/>
        </w:rPr>
      </w:pPr>
      <w:r>
        <w:rPr>
          <w:sz w:val="24"/>
          <w:szCs w:val="24"/>
        </w:rPr>
        <w:t>titolare del trattamento dei dati è la Direzione Se</w:t>
      </w:r>
      <w:r>
        <w:rPr>
          <w:sz w:val="24"/>
          <w:szCs w:val="24"/>
        </w:rPr>
        <w:t>rvizi Sociali della Città di Torino.</w:t>
      </w:r>
    </w:p>
    <w:p w:rsidR="001D7D2B" w:rsidRDefault="001D7D2B">
      <w:pPr>
        <w:spacing w:after="8" w:line="256" w:lineRule="auto"/>
        <w:rPr>
          <w:sz w:val="24"/>
          <w:szCs w:val="24"/>
        </w:rPr>
      </w:pPr>
    </w:p>
    <w:p w:rsidR="001D7D2B" w:rsidRDefault="001D7D2B">
      <w:pPr>
        <w:spacing w:after="0" w:line="256" w:lineRule="auto"/>
        <w:rPr>
          <w:sz w:val="24"/>
          <w:szCs w:val="24"/>
        </w:rPr>
      </w:pPr>
    </w:p>
    <w:p w:rsidR="001D7D2B" w:rsidRDefault="001D7D2B">
      <w:pPr>
        <w:spacing w:after="0" w:line="256" w:lineRule="auto"/>
        <w:rPr>
          <w:sz w:val="24"/>
          <w:szCs w:val="24"/>
        </w:rPr>
      </w:pPr>
    </w:p>
    <w:p w:rsidR="001D7D2B" w:rsidRDefault="0054312F">
      <w:pPr>
        <w:spacing w:after="0" w:line="256" w:lineRule="auto"/>
        <w:rPr>
          <w:sz w:val="24"/>
          <w:szCs w:val="24"/>
        </w:rPr>
      </w:pPr>
      <w:r>
        <w:rPr>
          <w:sz w:val="24"/>
          <w:szCs w:val="24"/>
        </w:rPr>
        <w:t xml:space="preserve">Data _________________           </w:t>
      </w:r>
      <w:r>
        <w:rPr>
          <w:sz w:val="24"/>
          <w:szCs w:val="24"/>
        </w:rPr>
        <w:tab/>
      </w:r>
      <w:r>
        <w:rPr>
          <w:sz w:val="24"/>
          <w:szCs w:val="24"/>
        </w:rPr>
        <w:tab/>
      </w:r>
      <w:r>
        <w:rPr>
          <w:sz w:val="24"/>
          <w:szCs w:val="24"/>
        </w:rPr>
        <w:tab/>
      </w:r>
      <w:r>
        <w:rPr>
          <w:sz w:val="24"/>
          <w:szCs w:val="24"/>
        </w:rPr>
        <w:tab/>
        <w:t xml:space="preserve"> Legale Rappresentante</w:t>
      </w:r>
    </w:p>
    <w:p w:rsidR="001D7D2B" w:rsidRDefault="0054312F">
      <w:pPr>
        <w:spacing w:after="0" w:line="256"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______________________________</w:t>
      </w:r>
      <w:r>
        <w:rPr>
          <w:sz w:val="24"/>
          <w:szCs w:val="24"/>
        </w:rPr>
        <w:tab/>
      </w:r>
      <w:r>
        <w:rPr>
          <w:sz w:val="24"/>
          <w:szCs w:val="24"/>
        </w:rPr>
        <w:tab/>
      </w:r>
    </w:p>
    <w:p w:rsidR="001D7D2B" w:rsidRDefault="001D7D2B">
      <w:pPr>
        <w:spacing w:after="0" w:line="256" w:lineRule="auto"/>
        <w:rPr>
          <w:sz w:val="24"/>
          <w:szCs w:val="24"/>
        </w:rPr>
      </w:pPr>
    </w:p>
    <w:p w:rsidR="001D7D2B" w:rsidRDefault="001D7D2B">
      <w:pPr>
        <w:spacing w:after="0" w:line="256" w:lineRule="auto"/>
        <w:rPr>
          <w:i/>
          <w:sz w:val="18"/>
          <w:szCs w:val="18"/>
        </w:rPr>
      </w:pPr>
    </w:p>
    <w:p w:rsidR="001D7D2B" w:rsidRDefault="001D7D2B">
      <w:pPr>
        <w:spacing w:after="0" w:line="256" w:lineRule="auto"/>
        <w:rPr>
          <w:sz w:val="20"/>
          <w:szCs w:val="20"/>
        </w:rPr>
      </w:pPr>
    </w:p>
    <w:p w:rsidR="001D7D2B" w:rsidRDefault="0054312F">
      <w:pPr>
        <w:spacing w:after="0" w:line="256" w:lineRule="auto"/>
      </w:pPr>
      <w:r>
        <w:rPr>
          <w:i/>
          <w:sz w:val="18"/>
          <w:szCs w:val="18"/>
          <w:u w:val="single"/>
        </w:rPr>
        <w:t>Avvertenze</w:t>
      </w:r>
      <w:r>
        <w:rPr>
          <w:i/>
          <w:sz w:val="18"/>
          <w:szCs w:val="18"/>
        </w:rPr>
        <w:t xml:space="preserve">: </w:t>
      </w:r>
    </w:p>
    <w:p w:rsidR="001D7D2B" w:rsidRDefault="0054312F">
      <w:pPr>
        <w:spacing w:after="3" w:line="232" w:lineRule="auto"/>
        <w:ind w:left="-5" w:right="-11"/>
      </w:pPr>
      <w:r>
        <w:rPr>
          <w:i/>
          <w:sz w:val="18"/>
          <w:szCs w:val="18"/>
        </w:rPr>
        <w:t xml:space="preserve">Qualora la dichiarazione presenti delle irregolarità rilevabili d’ufficio, non costituenti falsità, oppure sia incompleta, il funzionario competente a ricevere la documentazione ne dà comunicazione all’interessato per la regolarizzazione o completamento. </w:t>
      </w:r>
    </w:p>
    <w:p w:rsidR="001D7D2B" w:rsidRDefault="0054312F">
      <w:pPr>
        <w:spacing w:after="3" w:line="232" w:lineRule="auto"/>
        <w:ind w:left="-5" w:right="-11"/>
      </w:pPr>
      <w:r>
        <w:rPr>
          <w:i/>
          <w:sz w:val="18"/>
          <w:szCs w:val="18"/>
        </w:rPr>
        <w:t>Qualora invece, da un controllo successivo, emerga la non veridicità del contenuto della dichiarazione, il dichiarante decade dai benefici eventualmente conseguenti al provvedimento emanato sulla base della dichiarazione non veritiera (Art. 75 DPR n. 445/2</w:t>
      </w:r>
      <w:r>
        <w:rPr>
          <w:i/>
          <w:sz w:val="18"/>
          <w:szCs w:val="18"/>
        </w:rPr>
        <w:t>000).</w:t>
      </w:r>
    </w:p>
    <w:p w:rsidR="001D7D2B" w:rsidRDefault="001D7D2B"/>
    <w:p w:rsidR="001D7D2B" w:rsidRDefault="001D7D2B"/>
    <w:p w:rsidR="001D7D2B" w:rsidRDefault="001D7D2B"/>
    <w:sectPr w:rsidR="001D7D2B" w:rsidSect="001D7D2B">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D2B" w:rsidRDefault="001D7D2B" w:rsidP="001D7D2B">
      <w:pPr>
        <w:spacing w:after="0" w:line="240" w:lineRule="auto"/>
      </w:pPr>
      <w:r>
        <w:separator/>
      </w:r>
    </w:p>
  </w:endnote>
  <w:endnote w:type="continuationSeparator" w:id="1">
    <w:p w:rsidR="001D7D2B" w:rsidRDefault="001D7D2B" w:rsidP="001D7D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Quattrocento Sans">
    <w:charset w:val="00"/>
    <w:family w:val="auto"/>
    <w:pitch w:val="default"/>
    <w:sig w:usb0="00000000" w:usb1="00000000" w:usb2="00000000" w:usb3="00000000" w:csb0="00000000" w:csb1="00000000"/>
  </w:font>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2B" w:rsidRDefault="0054312F">
    <w:pPr>
      <w:spacing w:after="0" w:line="240" w:lineRule="auto"/>
      <w:rPr>
        <w:sz w:val="18"/>
        <w:szCs w:val="18"/>
      </w:rPr>
    </w:pPr>
    <w:r>
      <w:rPr>
        <w:b/>
        <w:sz w:val="18"/>
        <w:szCs w:val="18"/>
      </w:rPr>
      <w:t>Asse 7 - misura TO7.1.1.b</w:t>
    </w:r>
  </w:p>
  <w:p w:rsidR="001D7D2B" w:rsidRDefault="0054312F">
    <w:pPr>
      <w:spacing w:after="0" w:line="240" w:lineRule="auto"/>
      <w:rPr>
        <w:sz w:val="18"/>
        <w:szCs w:val="18"/>
      </w:rPr>
    </w:pPr>
    <w:r>
      <w:rPr>
        <w:b/>
        <w:sz w:val="18"/>
        <w:szCs w:val="18"/>
      </w:rPr>
      <w:t xml:space="preserve">CUP: C19J21037430006 </w:t>
    </w:r>
  </w:p>
  <w:p w:rsidR="001D7D2B" w:rsidRDefault="0054312F">
    <w:pPr>
      <w:pBdr>
        <w:top w:val="nil"/>
        <w:left w:val="nil"/>
        <w:bottom w:val="nil"/>
        <w:right w:val="nil"/>
        <w:between w:val="nil"/>
      </w:pBdr>
      <w:tabs>
        <w:tab w:val="center" w:pos="4819"/>
        <w:tab w:val="right" w:pos="9638"/>
      </w:tabs>
      <w:spacing w:after="0" w:line="240" w:lineRule="auto"/>
      <w:rPr>
        <w:color w:val="000000"/>
        <w:sz w:val="18"/>
        <w:szCs w:val="18"/>
      </w:rPr>
    </w:pPr>
    <w:r>
      <w:rPr>
        <w:b/>
        <w:color w:val="000000"/>
        <w:sz w:val="18"/>
        <w:szCs w:val="18"/>
      </w:rPr>
      <w:t>PON METRO REACT  EU TORINO -  finanziato nell’ambito della risposta dell’Unione alla pandemia di COVID-19</w:t>
    </w:r>
    <w:r>
      <w:rPr>
        <w:noProof/>
      </w:rPr>
      <w:drawing>
        <wp:anchor distT="0" distB="0" distL="114935" distR="114935" simplePos="0" relativeHeight="251660288" behindDoc="0" locked="0" layoutInCell="1" allowOverlap="1">
          <wp:simplePos x="0" y="0"/>
          <wp:positionH relativeFrom="column">
            <wp:posOffset>1</wp:posOffset>
          </wp:positionH>
          <wp:positionV relativeFrom="paragraph">
            <wp:posOffset>7127875</wp:posOffset>
          </wp:positionV>
          <wp:extent cx="7559675" cy="381889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 t="-14" r="-8" b="-14"/>
                  <a:stretch>
                    <a:fillRect/>
                  </a:stretch>
                </pic:blipFill>
                <pic:spPr>
                  <a:xfrm>
                    <a:off x="0" y="0"/>
                    <a:ext cx="7559675" cy="3818890"/>
                  </a:xfrm>
                  <a:prstGeom prst="rect">
                    <a:avLst/>
                  </a:prstGeom>
                  <a:ln/>
                </pic:spPr>
              </pic:pic>
            </a:graphicData>
          </a:graphic>
        </wp:anchor>
      </w:drawing>
    </w:r>
    <w:r>
      <w:rPr>
        <w:noProof/>
      </w:rPr>
      <w:drawing>
        <wp:anchor distT="0" distB="0" distL="114935" distR="114935" simplePos="0" relativeHeight="251661312" behindDoc="0" locked="0" layoutInCell="1" allowOverlap="1">
          <wp:simplePos x="0" y="0"/>
          <wp:positionH relativeFrom="column">
            <wp:posOffset>1</wp:posOffset>
          </wp:positionH>
          <wp:positionV relativeFrom="paragraph">
            <wp:posOffset>7127875</wp:posOffset>
          </wp:positionV>
          <wp:extent cx="7559675" cy="381889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 t="-14" r="-8" b="-14"/>
                  <a:stretch>
                    <a:fillRect/>
                  </a:stretch>
                </pic:blipFill>
                <pic:spPr>
                  <a:xfrm>
                    <a:off x="0" y="0"/>
                    <a:ext cx="7559675" cy="3818890"/>
                  </a:xfrm>
                  <a:prstGeom prst="rect">
                    <a:avLst/>
                  </a:prstGeom>
                  <a:ln/>
                </pic:spPr>
              </pic:pic>
            </a:graphicData>
          </a:graphic>
        </wp:anchor>
      </w:drawing>
    </w:r>
    <w:r>
      <w:rPr>
        <w:noProof/>
      </w:rPr>
      <w:drawing>
        <wp:anchor distT="0" distB="0" distL="114935" distR="114935" simplePos="0" relativeHeight="251662336" behindDoc="0" locked="0" layoutInCell="1" allowOverlap="1">
          <wp:simplePos x="0" y="0"/>
          <wp:positionH relativeFrom="column">
            <wp:posOffset>1</wp:posOffset>
          </wp:positionH>
          <wp:positionV relativeFrom="paragraph">
            <wp:posOffset>7127875</wp:posOffset>
          </wp:positionV>
          <wp:extent cx="7559675" cy="381889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 t="-14" r="-8" b="-14"/>
                  <a:stretch>
                    <a:fillRect/>
                  </a:stretch>
                </pic:blipFill>
                <pic:spPr>
                  <a:xfrm>
                    <a:off x="0" y="0"/>
                    <a:ext cx="7559675" cy="3818890"/>
                  </a:xfrm>
                  <a:prstGeom prst="rect">
                    <a:avLst/>
                  </a:prstGeom>
                  <a:ln/>
                </pic:spPr>
              </pic:pic>
            </a:graphicData>
          </a:graphic>
        </wp:anchor>
      </w:drawing>
    </w:r>
    <w:r>
      <w:rPr>
        <w:noProof/>
      </w:rPr>
      <w:drawing>
        <wp:anchor distT="0" distB="0" distL="114935" distR="114935" simplePos="0" relativeHeight="251663360" behindDoc="0" locked="0" layoutInCell="1" allowOverlap="1">
          <wp:simplePos x="0" y="0"/>
          <wp:positionH relativeFrom="column">
            <wp:posOffset>1</wp:posOffset>
          </wp:positionH>
          <wp:positionV relativeFrom="paragraph">
            <wp:posOffset>7127875</wp:posOffset>
          </wp:positionV>
          <wp:extent cx="7559675" cy="381889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 t="-14" r="-8" b="-14"/>
                  <a:stretch>
                    <a:fillRect/>
                  </a:stretch>
                </pic:blipFill>
                <pic:spPr>
                  <a:xfrm>
                    <a:off x="0" y="0"/>
                    <a:ext cx="7559675" cy="381889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D2B" w:rsidRDefault="001D7D2B" w:rsidP="001D7D2B">
      <w:pPr>
        <w:spacing w:after="0" w:line="240" w:lineRule="auto"/>
      </w:pPr>
      <w:r>
        <w:separator/>
      </w:r>
    </w:p>
  </w:footnote>
  <w:footnote w:type="continuationSeparator" w:id="1">
    <w:p w:rsidR="001D7D2B" w:rsidRDefault="001D7D2B" w:rsidP="001D7D2B">
      <w:pPr>
        <w:spacing w:after="0" w:line="240" w:lineRule="auto"/>
      </w:pPr>
      <w:r>
        <w:continuationSeparator/>
      </w:r>
    </w:p>
  </w:footnote>
  <w:footnote w:id="2">
    <w:p w:rsidR="001D7D2B" w:rsidRDefault="0054312F">
      <w:pPr>
        <w:pBdr>
          <w:top w:val="nil"/>
          <w:left w:val="nil"/>
          <w:bottom w:val="nil"/>
          <w:right w:val="nil"/>
          <w:between w:val="nil"/>
        </w:pBdr>
        <w:spacing w:after="13" w:line="256" w:lineRule="auto"/>
        <w:rPr>
          <w:color w:val="000000"/>
          <w:sz w:val="16"/>
          <w:szCs w:val="16"/>
        </w:rPr>
      </w:pPr>
      <w:r>
        <w:rPr>
          <w:vertAlign w:val="superscript"/>
        </w:rPr>
        <w:footnoteRef/>
      </w:r>
      <w:r>
        <w:rPr>
          <w:color w:val="000000"/>
          <w:sz w:val="16"/>
          <w:szCs w:val="16"/>
        </w:rPr>
        <w:t xml:space="preserve">Pubblicato nella </w:t>
      </w:r>
      <w:proofErr w:type="spellStart"/>
      <w:r>
        <w:rPr>
          <w:color w:val="000000"/>
          <w:sz w:val="16"/>
          <w:szCs w:val="16"/>
        </w:rPr>
        <w:t>G.U.U.E.</w:t>
      </w:r>
      <w:proofErr w:type="spellEnd"/>
      <w:r>
        <w:rPr>
          <w:color w:val="000000"/>
          <w:sz w:val="16"/>
          <w:szCs w:val="16"/>
        </w:rPr>
        <w:t xml:space="preserve"> 24 dicembre 2013, n. L 352. </w:t>
      </w:r>
    </w:p>
  </w:footnote>
  <w:footnote w:id="3">
    <w:p w:rsidR="001D7D2B" w:rsidRDefault="0054312F">
      <w:pPr>
        <w:pBdr>
          <w:top w:val="nil"/>
          <w:left w:val="nil"/>
          <w:bottom w:val="nil"/>
          <w:right w:val="nil"/>
          <w:between w:val="nil"/>
        </w:pBdr>
        <w:spacing w:after="0" w:line="280" w:lineRule="auto"/>
        <w:jc w:val="both"/>
        <w:rPr>
          <w:color w:val="000000"/>
          <w:sz w:val="16"/>
          <w:szCs w:val="16"/>
        </w:rPr>
      </w:pPr>
      <w:r>
        <w:rPr>
          <w:vertAlign w:val="superscript"/>
        </w:rPr>
        <w:footnoteRef/>
      </w:r>
      <w:r>
        <w:rPr>
          <w:color w:val="000000"/>
          <w:sz w:val="16"/>
          <w:szCs w:val="16"/>
        </w:rPr>
        <w:t xml:space="preserve"> Per “impresa unica” si intende l’impresa beneficiaria e le imprese, a monte e a valle, ad essa legate da uno dei rapporti di collegamento indicati all’art. 2, par. 2, del Reg.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1407/2013.  </w:t>
      </w:r>
    </w:p>
  </w:footnote>
  <w:footnote w:id="4">
    <w:p w:rsidR="001D7D2B" w:rsidRDefault="0054312F">
      <w:pPr>
        <w:pBdr>
          <w:top w:val="nil"/>
          <w:left w:val="nil"/>
          <w:bottom w:val="nil"/>
          <w:right w:val="nil"/>
          <w:between w:val="nil"/>
        </w:pBdr>
        <w:spacing w:after="0" w:line="259" w:lineRule="auto"/>
        <w:ind w:right="2"/>
        <w:jc w:val="both"/>
        <w:rPr>
          <w:color w:val="000000"/>
          <w:sz w:val="16"/>
          <w:szCs w:val="16"/>
        </w:rPr>
      </w:pPr>
      <w:r>
        <w:rPr>
          <w:vertAlign w:val="superscript"/>
        </w:rPr>
        <w:footnoteRef/>
      </w:r>
      <w:r>
        <w:rPr>
          <w:color w:val="000000"/>
          <w:sz w:val="16"/>
          <w:szCs w:val="16"/>
        </w:rPr>
        <w:t xml:space="preserve"> Il periodo di tre esercizi finanziari viene determinato facendo riferimento agli esercizi finanziari utilizzati dall’impresa ed è valutato su base mobile (tenendo conto dell’esercizio finanziario in questione e dei due esercizi finanziari precedenti), c</w:t>
      </w:r>
      <w:r>
        <w:rPr>
          <w:color w:val="000000"/>
          <w:sz w:val="16"/>
          <w:szCs w:val="16"/>
        </w:rPr>
        <w:t xml:space="preserve">ome previsto dall’art. 3, par. 5, e dal considerando 10 del Reg. </w:t>
      </w:r>
      <w:r>
        <w:rPr>
          <w:i/>
          <w:color w:val="000000"/>
          <w:sz w:val="16"/>
          <w:szCs w:val="16"/>
        </w:rPr>
        <w:t xml:space="preserve">de </w:t>
      </w:r>
      <w:proofErr w:type="spellStart"/>
      <w:r>
        <w:rPr>
          <w:i/>
          <w:color w:val="000000"/>
          <w:sz w:val="16"/>
          <w:szCs w:val="16"/>
        </w:rPr>
        <w:t>minimis</w:t>
      </w:r>
      <w:proofErr w:type="spellEnd"/>
      <w:r>
        <w:rPr>
          <w:i/>
          <w:color w:val="000000"/>
          <w:sz w:val="16"/>
          <w:szCs w:val="16"/>
        </w:rPr>
        <w:t xml:space="preserve"> </w:t>
      </w:r>
      <w:r>
        <w:rPr>
          <w:color w:val="000000"/>
          <w:sz w:val="16"/>
          <w:szCs w:val="16"/>
        </w:rPr>
        <w:t xml:space="preserve">1407/2013. </w:t>
      </w:r>
    </w:p>
  </w:footnote>
  <w:footnote w:id="5">
    <w:p w:rsidR="001D7D2B" w:rsidRDefault="0054312F">
      <w:pPr>
        <w:pBdr>
          <w:top w:val="nil"/>
          <w:left w:val="nil"/>
          <w:bottom w:val="nil"/>
          <w:right w:val="nil"/>
          <w:between w:val="nil"/>
        </w:pBdr>
        <w:spacing w:after="0" w:line="249" w:lineRule="auto"/>
        <w:ind w:right="2"/>
        <w:jc w:val="both"/>
        <w:rPr>
          <w:color w:val="000000"/>
          <w:sz w:val="20"/>
          <w:szCs w:val="20"/>
        </w:rPr>
      </w:pPr>
      <w:r>
        <w:rPr>
          <w:vertAlign w:val="superscript"/>
        </w:rPr>
        <w:footnoteRef/>
      </w:r>
      <w:r>
        <w:rPr>
          <w:color w:val="000000"/>
          <w:sz w:val="16"/>
          <w:szCs w:val="16"/>
        </w:rPr>
        <w:t xml:space="preserve"> Gli aiuti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non possono essere utilizzati per l’acquisto di veicoli destinati al trasporto di merci su strada. Se un’impresa che effettua trasporto di merci </w:t>
      </w:r>
      <w:r>
        <w:rPr>
          <w:color w:val="000000"/>
          <w:sz w:val="16"/>
          <w:szCs w:val="16"/>
        </w:rPr>
        <w:t>su strada per conto terzi esercita anche altre attività soggette al massimale di € 200.000,00, all’impresa si applica tale massimale purché sia dimostrabile che l’attività di trasporto merci su strada non tragga un vantaggio superiore a € 100.000,00.</w:t>
      </w:r>
      <w:r>
        <w:rPr>
          <w:color w:val="000000"/>
          <w:sz w:val="20"/>
          <w:szCs w:val="20"/>
        </w:rPr>
        <w:t xml:space="preserve">  </w:t>
      </w:r>
    </w:p>
  </w:footnote>
  <w:footnote w:id="6">
    <w:p w:rsidR="001D7D2B" w:rsidRDefault="0054312F">
      <w:pPr>
        <w:pBdr>
          <w:top w:val="nil"/>
          <w:left w:val="nil"/>
          <w:bottom w:val="nil"/>
          <w:right w:val="nil"/>
          <w:between w:val="nil"/>
        </w:pBdr>
        <w:spacing w:after="0" w:line="256" w:lineRule="auto"/>
        <w:jc w:val="both"/>
        <w:rPr>
          <w:color w:val="000000"/>
          <w:sz w:val="16"/>
          <w:szCs w:val="16"/>
        </w:rPr>
      </w:pPr>
      <w:r>
        <w:rPr>
          <w:vertAlign w:val="superscript"/>
        </w:rPr>
        <w:footnoteRef/>
      </w:r>
      <w:r>
        <w:rPr>
          <w:color w:val="000000"/>
          <w:sz w:val="16"/>
          <w:szCs w:val="16"/>
        </w:rPr>
        <w:t xml:space="preserve"> Tuttavia se un’impresa operante nel settore della pesca e dell’acquacoltura opera anche in uno o più settori o svolge anche altre attività che rientrano nel campo di applicazione del Reg.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1407/2013, quest’ultimo si applica agli aiuti concessi i</w:t>
      </w:r>
      <w:r>
        <w:rPr>
          <w:color w:val="000000"/>
          <w:sz w:val="16"/>
          <w:szCs w:val="16"/>
        </w:rPr>
        <w:t xml:space="preserve">n relazione a tali ulteriori settori o attività purché sia dimostrabile che le attività di pesca e acquacoltura non beneficiano di aiuti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concessi sulla base del Reg. 1407/2013.  </w:t>
      </w:r>
    </w:p>
  </w:footnote>
  <w:footnote w:id="7">
    <w:p w:rsidR="001D7D2B" w:rsidRDefault="0054312F">
      <w:pPr>
        <w:pBdr>
          <w:top w:val="nil"/>
          <w:left w:val="nil"/>
          <w:bottom w:val="nil"/>
          <w:right w:val="nil"/>
          <w:between w:val="nil"/>
        </w:pBdr>
        <w:spacing w:after="0" w:line="240" w:lineRule="auto"/>
        <w:ind w:right="2"/>
        <w:jc w:val="both"/>
        <w:rPr>
          <w:color w:val="000000"/>
          <w:sz w:val="16"/>
          <w:szCs w:val="16"/>
        </w:rPr>
      </w:pPr>
      <w:r>
        <w:rPr>
          <w:vertAlign w:val="superscript"/>
        </w:rPr>
        <w:footnoteRef/>
      </w:r>
      <w:r>
        <w:rPr>
          <w:color w:val="000000"/>
          <w:sz w:val="16"/>
          <w:szCs w:val="16"/>
        </w:rPr>
        <w:t xml:space="preserve"> Tuttavia se un’impresa operante nel settore della produzione pri</w:t>
      </w:r>
      <w:r>
        <w:rPr>
          <w:color w:val="000000"/>
          <w:sz w:val="16"/>
          <w:szCs w:val="16"/>
        </w:rPr>
        <w:t xml:space="preserve">maria dei prodotti agricoli opera anche in uno o più settori o svolge anche altre attività che rientrano nel campo di applicazione del Reg.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1407/2013, quest’ultimo si applica agli aiuti concessi in relazione a tali ulteriori settori o attività p</w:t>
      </w:r>
      <w:r>
        <w:rPr>
          <w:color w:val="000000"/>
          <w:sz w:val="16"/>
          <w:szCs w:val="16"/>
        </w:rPr>
        <w:t xml:space="preserve">urché sia dimostrabile che l’attività di produzione primaria di prodotti agricoli non beneficia di aiuti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concessi sulla base del Reg. 1407/2013. </w:t>
      </w:r>
    </w:p>
    <w:p w:rsidR="001D7D2B" w:rsidRDefault="0054312F">
      <w:pPr>
        <w:pBdr>
          <w:top w:val="nil"/>
          <w:left w:val="nil"/>
          <w:bottom w:val="nil"/>
          <w:right w:val="nil"/>
          <w:between w:val="nil"/>
        </w:pBdr>
        <w:spacing w:after="0" w:line="237" w:lineRule="auto"/>
        <w:ind w:right="2"/>
        <w:jc w:val="both"/>
        <w:rPr>
          <w:color w:val="000000"/>
          <w:sz w:val="16"/>
          <w:szCs w:val="16"/>
        </w:rPr>
      </w:pPr>
      <w:r>
        <w:rPr>
          <w:color w:val="000000"/>
          <w:sz w:val="16"/>
          <w:szCs w:val="16"/>
          <w:vertAlign w:val="superscript"/>
        </w:rPr>
        <w:t>7</w:t>
      </w:r>
      <w:r>
        <w:rPr>
          <w:rFonts w:ascii="Times New Roman" w:eastAsia="Times New Roman" w:hAnsi="Times New Roman" w:cs="Times New Roman"/>
          <w:color w:val="000000"/>
          <w:sz w:val="16"/>
          <w:szCs w:val="16"/>
        </w:rPr>
        <w:t>T</w:t>
      </w:r>
      <w:r>
        <w:rPr>
          <w:color w:val="000000"/>
          <w:sz w:val="16"/>
          <w:szCs w:val="16"/>
        </w:rPr>
        <w:t xml:space="preserve">uttavia se un’impresa operante nel settore della trasformazione e commercializzazione di prodotti agricoli nei casi esclusi indicati opera anche in uno o più settori o svolge anche altre attività che rientrano nel campo di applicazione del Reg.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w:t>
      </w:r>
      <w:r>
        <w:rPr>
          <w:color w:val="000000"/>
          <w:sz w:val="16"/>
          <w:szCs w:val="16"/>
        </w:rPr>
        <w:t xml:space="preserve">1407/2013, quest’ultimo si applica agli aiuti concessi in relazione a tali ulteriori settori o attività purché sia dimostrabile che l’attività di trasformazione e commercializzazione di prodotti agricoli nei casi esclusi indicati non beneficia di aiuti </w:t>
      </w:r>
      <w:r>
        <w:rPr>
          <w:i/>
          <w:color w:val="000000"/>
          <w:sz w:val="16"/>
          <w:szCs w:val="16"/>
        </w:rPr>
        <w:t xml:space="preserve">de </w:t>
      </w:r>
      <w:proofErr w:type="spellStart"/>
      <w:r>
        <w:rPr>
          <w:i/>
          <w:color w:val="000000"/>
          <w:sz w:val="16"/>
          <w:szCs w:val="16"/>
        </w:rPr>
        <w:t>minimis</w:t>
      </w:r>
      <w:proofErr w:type="spellEnd"/>
      <w:r>
        <w:rPr>
          <w:color w:val="000000"/>
          <w:sz w:val="16"/>
          <w:szCs w:val="16"/>
        </w:rPr>
        <w:t xml:space="preserve"> concessi sulla base del Reg. 1407/2013. </w:t>
      </w:r>
    </w:p>
  </w:footnote>
  <w:footnote w:id="8">
    <w:p w:rsidR="001D7D2B" w:rsidRDefault="0054312F">
      <w:pPr>
        <w:pBdr>
          <w:top w:val="nil"/>
          <w:left w:val="nil"/>
          <w:bottom w:val="nil"/>
          <w:right w:val="nil"/>
          <w:between w:val="nil"/>
        </w:pBdr>
        <w:spacing w:after="0" w:line="259" w:lineRule="auto"/>
        <w:ind w:right="2"/>
        <w:jc w:val="both"/>
        <w:rPr>
          <w:color w:val="000000"/>
          <w:sz w:val="20"/>
          <w:szCs w:val="20"/>
        </w:rPr>
      </w:pPr>
      <w:r>
        <w:rPr>
          <w:vertAlign w:val="superscript"/>
        </w:rPr>
        <w:footnoteRef/>
      </w:r>
      <w:r>
        <w:rPr>
          <w:color w:val="000000"/>
          <w:sz w:val="16"/>
          <w:szCs w:val="16"/>
          <w:vertAlign w:val="superscript"/>
        </w:rPr>
        <w:t>8</w:t>
      </w:r>
      <w:r>
        <w:rPr>
          <w:color w:val="000000"/>
          <w:sz w:val="16"/>
          <w:szCs w:val="16"/>
        </w:rPr>
        <w:t xml:space="preserve"> Sono “trasparenti” gli aiuti per i quali si può calcolare con precisione l’equivalente sovvenzione lordo ex ante senza che sia necessario effettuare una valutazione dei rischi (art. 4, Reg. 1407/2013). Nel caso specifico il metodo di calcolo dell’elemento</w:t>
      </w:r>
      <w:r>
        <w:rPr>
          <w:color w:val="000000"/>
          <w:sz w:val="16"/>
          <w:szCs w:val="16"/>
        </w:rPr>
        <w:t xml:space="preserve"> di aiuto nelle garanzie a favore delle PMI è quello notificato dal Ministero dello Sviluppo Economico come aiuto n. 182/2010 e autorizzato con decisione n. 4505 del 6 luglio 2010.</w:t>
      </w:r>
    </w:p>
  </w:footnote>
  <w:footnote w:id="9">
    <w:p w:rsidR="001D7D2B" w:rsidRDefault="0054312F">
      <w:pPr>
        <w:pBdr>
          <w:top w:val="nil"/>
          <w:left w:val="nil"/>
          <w:bottom w:val="nil"/>
          <w:right w:val="nil"/>
          <w:between w:val="nil"/>
        </w:pBdr>
        <w:spacing w:after="0" w:line="240" w:lineRule="auto"/>
        <w:jc w:val="both"/>
        <w:rPr>
          <w:rFonts w:ascii="Verdana" w:eastAsia="Verdana" w:hAnsi="Verdana" w:cs="Verdana"/>
          <w:color w:val="000000"/>
          <w:sz w:val="16"/>
          <w:szCs w:val="16"/>
        </w:rPr>
      </w:pPr>
      <w:r>
        <w:rPr>
          <w:vertAlign w:val="superscript"/>
        </w:rPr>
        <w:footnoteRef/>
      </w:r>
      <w:r>
        <w:rPr>
          <w:color w:val="000000"/>
          <w:sz w:val="16"/>
          <w:szCs w:val="16"/>
          <w:vertAlign w:val="superscript"/>
        </w:rPr>
        <w:t xml:space="preserve">9 </w:t>
      </w:r>
      <w:r>
        <w:rPr>
          <w:color w:val="000000"/>
          <w:sz w:val="16"/>
          <w:szCs w:val="16"/>
        </w:rPr>
        <w:t xml:space="preserve">Indicare il regolamento in base al quale è stato concesso l’aiuto “de </w:t>
      </w:r>
      <w:proofErr w:type="spellStart"/>
      <w:r>
        <w:rPr>
          <w:color w:val="000000"/>
          <w:sz w:val="16"/>
          <w:szCs w:val="16"/>
        </w:rPr>
        <w:t>mi</w:t>
      </w:r>
      <w:r>
        <w:rPr>
          <w:color w:val="000000"/>
          <w:sz w:val="16"/>
          <w:szCs w:val="16"/>
        </w:rPr>
        <w:t>nimis</w:t>
      </w:r>
      <w:proofErr w:type="spellEnd"/>
      <w:r>
        <w:rPr>
          <w:color w:val="000000"/>
          <w:sz w:val="16"/>
          <w:szCs w:val="16"/>
        </w:rPr>
        <w:t>”: Reg. n. 1998/2006 (generale per il periodo 2007-2013); Reg. n. 1407/2013 (generale per il periodo 2014-2020);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2B" w:rsidRDefault="0054312F">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935" distR="114935" simplePos="0" relativeHeight="251658240" behindDoc="0" locked="0" layoutInCell="1" allowOverlap="1">
          <wp:simplePos x="0" y="0"/>
          <wp:positionH relativeFrom="column">
            <wp:posOffset>-720089</wp:posOffset>
          </wp:positionH>
          <wp:positionV relativeFrom="paragraph">
            <wp:posOffset>-411479</wp:posOffset>
          </wp:positionV>
          <wp:extent cx="7559675" cy="125730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 t="-52" r="-8" b="-51"/>
                  <a:stretch>
                    <a:fillRect/>
                  </a:stretch>
                </pic:blipFill>
                <pic:spPr>
                  <a:xfrm>
                    <a:off x="0" y="0"/>
                    <a:ext cx="7559675" cy="1257300"/>
                  </a:xfrm>
                  <a:prstGeom prst="rect">
                    <a:avLst/>
                  </a:prstGeom>
                  <a:ln/>
                </pic:spPr>
              </pic:pic>
            </a:graphicData>
          </a:graphic>
        </wp:anchor>
      </w:drawing>
    </w:r>
  </w:p>
  <w:p w:rsidR="001D7D2B" w:rsidRDefault="001D7D2B">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A7900"/>
    <w:multiLevelType w:val="multilevel"/>
    <w:tmpl w:val="9964FDD6"/>
    <w:lvl w:ilvl="0">
      <w:start w:val="1"/>
      <w:numFmt w:val="lowerLetter"/>
      <w:lvlText w:val="%1)"/>
      <w:lvlJc w:val="left"/>
      <w:pPr>
        <w:ind w:left="233" w:firstLine="0"/>
      </w:pPr>
      <w:rPr>
        <w:rFonts w:ascii="Times New Roman" w:eastAsia="Times New Roman" w:hAnsi="Times New Roman" w:cs="Times New Roman"/>
        <w:b w:val="0"/>
        <w:i w:val="0"/>
        <w:strike w:val="0"/>
        <w:color w:val="000000"/>
        <w:sz w:val="20"/>
        <w:szCs w:val="20"/>
        <w:u w:val="none"/>
        <w:vertAlign w:val="baseline"/>
      </w:rPr>
    </w:lvl>
    <w:lvl w:ilvl="1">
      <w:start w:val="1"/>
      <w:numFmt w:val="bullet"/>
      <w:lvlText w:val="-"/>
      <w:lvlJc w:val="left"/>
      <w:pPr>
        <w:ind w:left="720" w:firstLine="0"/>
      </w:pPr>
      <w:rPr>
        <w:rFonts w:ascii="Times New Roman" w:eastAsia="Times New Roman" w:hAnsi="Times New Roman" w:cs="Times New Roman"/>
        <w:b w:val="0"/>
        <w:i w:val="0"/>
        <w:strike w:val="0"/>
        <w:color w:val="000000"/>
        <w:sz w:val="20"/>
        <w:szCs w:val="20"/>
        <w:u w:val="none"/>
        <w:vertAlign w:val="baseline"/>
      </w:rPr>
    </w:lvl>
    <w:lvl w:ilvl="2">
      <w:start w:val="1"/>
      <w:numFmt w:val="bullet"/>
      <w:lvlText w:val="▪"/>
      <w:lvlJc w:val="left"/>
      <w:pPr>
        <w:ind w:left="1440" w:firstLine="0"/>
      </w:pPr>
      <w:rPr>
        <w:rFonts w:ascii="Times New Roman" w:eastAsia="Times New Roman" w:hAnsi="Times New Roman" w:cs="Times New Roman"/>
        <w:b w:val="0"/>
        <w:i w:val="0"/>
        <w:strike w:val="0"/>
        <w:color w:val="000000"/>
        <w:sz w:val="20"/>
        <w:szCs w:val="20"/>
        <w:u w:val="none"/>
        <w:vertAlign w:val="baseline"/>
      </w:rPr>
    </w:lvl>
    <w:lvl w:ilvl="3">
      <w:start w:val="1"/>
      <w:numFmt w:val="bullet"/>
      <w:lvlText w:val="•"/>
      <w:lvlJc w:val="left"/>
      <w:pPr>
        <w:ind w:left="2160" w:firstLine="0"/>
      </w:pPr>
      <w:rPr>
        <w:rFonts w:ascii="Times New Roman" w:eastAsia="Times New Roman" w:hAnsi="Times New Roman" w:cs="Times New Roman"/>
        <w:b w:val="0"/>
        <w:i w:val="0"/>
        <w:strike w:val="0"/>
        <w:color w:val="000000"/>
        <w:sz w:val="20"/>
        <w:szCs w:val="20"/>
        <w:u w:val="none"/>
        <w:vertAlign w:val="baseline"/>
      </w:rPr>
    </w:lvl>
    <w:lvl w:ilvl="4">
      <w:start w:val="1"/>
      <w:numFmt w:val="bullet"/>
      <w:lvlText w:val="o"/>
      <w:lvlJc w:val="left"/>
      <w:pPr>
        <w:ind w:left="2880" w:firstLine="0"/>
      </w:pPr>
      <w:rPr>
        <w:rFonts w:ascii="Times New Roman" w:eastAsia="Times New Roman" w:hAnsi="Times New Roman" w:cs="Times New Roman"/>
        <w:b w:val="0"/>
        <w:i w:val="0"/>
        <w:strike w:val="0"/>
        <w:color w:val="000000"/>
        <w:sz w:val="20"/>
        <w:szCs w:val="20"/>
        <w:u w:val="none"/>
        <w:vertAlign w:val="baseline"/>
      </w:rPr>
    </w:lvl>
    <w:lvl w:ilvl="5">
      <w:start w:val="1"/>
      <w:numFmt w:val="bullet"/>
      <w:lvlText w:val="▪"/>
      <w:lvlJc w:val="left"/>
      <w:pPr>
        <w:ind w:left="3600" w:firstLine="0"/>
      </w:pPr>
      <w:rPr>
        <w:rFonts w:ascii="Times New Roman" w:eastAsia="Times New Roman" w:hAnsi="Times New Roman" w:cs="Times New Roman"/>
        <w:b w:val="0"/>
        <w:i w:val="0"/>
        <w:strike w:val="0"/>
        <w:color w:val="000000"/>
        <w:sz w:val="20"/>
        <w:szCs w:val="20"/>
        <w:u w:val="none"/>
        <w:vertAlign w:val="baseline"/>
      </w:rPr>
    </w:lvl>
    <w:lvl w:ilvl="6">
      <w:start w:val="1"/>
      <w:numFmt w:val="bullet"/>
      <w:lvlText w:val="•"/>
      <w:lvlJc w:val="left"/>
      <w:pPr>
        <w:ind w:left="4320" w:firstLine="0"/>
      </w:pPr>
      <w:rPr>
        <w:rFonts w:ascii="Times New Roman" w:eastAsia="Times New Roman" w:hAnsi="Times New Roman" w:cs="Times New Roman"/>
        <w:b w:val="0"/>
        <w:i w:val="0"/>
        <w:strike w:val="0"/>
        <w:color w:val="000000"/>
        <w:sz w:val="20"/>
        <w:szCs w:val="20"/>
        <w:u w:val="none"/>
        <w:vertAlign w:val="baseline"/>
      </w:rPr>
    </w:lvl>
    <w:lvl w:ilvl="7">
      <w:start w:val="1"/>
      <w:numFmt w:val="bullet"/>
      <w:lvlText w:val="o"/>
      <w:lvlJc w:val="left"/>
      <w:pPr>
        <w:ind w:left="5040" w:firstLine="0"/>
      </w:pPr>
      <w:rPr>
        <w:rFonts w:ascii="Times New Roman" w:eastAsia="Times New Roman" w:hAnsi="Times New Roman" w:cs="Times New Roman"/>
        <w:b w:val="0"/>
        <w:i w:val="0"/>
        <w:strike w:val="0"/>
        <w:color w:val="000000"/>
        <w:sz w:val="20"/>
        <w:szCs w:val="20"/>
        <w:u w:val="none"/>
        <w:vertAlign w:val="baseline"/>
      </w:rPr>
    </w:lvl>
    <w:lvl w:ilvl="8">
      <w:start w:val="1"/>
      <w:numFmt w:val="bullet"/>
      <w:lvlText w:val="▪"/>
      <w:lvlJc w:val="left"/>
      <w:pPr>
        <w:ind w:left="5760" w:firstLine="0"/>
      </w:pPr>
      <w:rPr>
        <w:rFonts w:ascii="Times New Roman" w:eastAsia="Times New Roman" w:hAnsi="Times New Roman" w:cs="Times New Roman"/>
        <w:b w:val="0"/>
        <w:i w:val="0"/>
        <w:strike w:val="0"/>
        <w:color w:val="000000"/>
        <w:sz w:val="20"/>
        <w:szCs w:val="20"/>
        <w:u w:val="none"/>
        <w:vertAlign w:val="baseline"/>
      </w:rPr>
    </w:lvl>
  </w:abstractNum>
  <w:abstractNum w:abstractNumId="1">
    <w:nsid w:val="7D6551BA"/>
    <w:multiLevelType w:val="multilevel"/>
    <w:tmpl w:val="4B2E8572"/>
    <w:lvl w:ilvl="0">
      <w:start w:val="1"/>
      <w:numFmt w:val="bullet"/>
      <w:lvlText w:val="-"/>
      <w:lvlJc w:val="left"/>
      <w:pPr>
        <w:ind w:left="710" w:firstLine="0"/>
      </w:pPr>
      <w:rPr>
        <w:rFonts w:ascii="Times New Roman" w:eastAsia="Times New Roman" w:hAnsi="Times New Roman" w:cs="Times New Roman"/>
        <w:b w:val="0"/>
        <w:i w:val="0"/>
        <w:strike w:val="0"/>
        <w:color w:val="000000"/>
        <w:sz w:val="20"/>
        <w:szCs w:val="20"/>
        <w:u w:val="none"/>
        <w:vertAlign w:val="baseline"/>
      </w:rPr>
    </w:lvl>
    <w:lvl w:ilvl="1">
      <w:start w:val="1"/>
      <w:numFmt w:val="bullet"/>
      <w:lvlText w:val="•"/>
      <w:lvlJc w:val="left"/>
      <w:pPr>
        <w:ind w:left="1078" w:firstLine="0"/>
      </w:pPr>
      <w:rPr>
        <w:rFonts w:ascii="Arial" w:eastAsia="Arial" w:hAnsi="Arial" w:cs="Arial"/>
        <w:b w:val="0"/>
        <w:i w:val="0"/>
        <w:strike w:val="0"/>
        <w:color w:val="000000"/>
        <w:sz w:val="20"/>
        <w:szCs w:val="20"/>
        <w:u w:val="none"/>
        <w:vertAlign w:val="baseline"/>
      </w:rPr>
    </w:lvl>
    <w:lvl w:ilvl="2">
      <w:start w:val="1"/>
      <w:numFmt w:val="bullet"/>
      <w:lvlText w:val="▪"/>
      <w:lvlJc w:val="left"/>
      <w:pPr>
        <w:ind w:left="1798" w:firstLine="0"/>
      </w:pPr>
      <w:rPr>
        <w:rFonts w:ascii="Quattrocento Sans" w:eastAsia="Quattrocento Sans" w:hAnsi="Quattrocento Sans" w:cs="Quattrocento Sans"/>
        <w:b w:val="0"/>
        <w:i w:val="0"/>
        <w:strike w:val="0"/>
        <w:color w:val="000000"/>
        <w:sz w:val="20"/>
        <w:szCs w:val="20"/>
        <w:u w:val="none"/>
        <w:vertAlign w:val="baseline"/>
      </w:rPr>
    </w:lvl>
    <w:lvl w:ilvl="3">
      <w:start w:val="1"/>
      <w:numFmt w:val="bullet"/>
      <w:lvlText w:val="•"/>
      <w:lvlJc w:val="left"/>
      <w:pPr>
        <w:ind w:left="2518" w:firstLine="0"/>
      </w:pPr>
      <w:rPr>
        <w:rFonts w:ascii="Arial" w:eastAsia="Arial" w:hAnsi="Arial" w:cs="Arial"/>
        <w:b w:val="0"/>
        <w:i w:val="0"/>
        <w:strike w:val="0"/>
        <w:color w:val="000000"/>
        <w:sz w:val="20"/>
        <w:szCs w:val="20"/>
        <w:u w:val="none"/>
        <w:vertAlign w:val="baseline"/>
      </w:rPr>
    </w:lvl>
    <w:lvl w:ilvl="4">
      <w:start w:val="1"/>
      <w:numFmt w:val="bullet"/>
      <w:lvlText w:val="o"/>
      <w:lvlJc w:val="left"/>
      <w:pPr>
        <w:ind w:left="3238" w:firstLine="0"/>
      </w:pPr>
      <w:rPr>
        <w:rFonts w:ascii="Quattrocento Sans" w:eastAsia="Quattrocento Sans" w:hAnsi="Quattrocento Sans" w:cs="Quattrocento Sans"/>
        <w:b w:val="0"/>
        <w:i w:val="0"/>
        <w:strike w:val="0"/>
        <w:color w:val="000000"/>
        <w:sz w:val="20"/>
        <w:szCs w:val="20"/>
        <w:u w:val="none"/>
        <w:vertAlign w:val="baseline"/>
      </w:rPr>
    </w:lvl>
    <w:lvl w:ilvl="5">
      <w:start w:val="1"/>
      <w:numFmt w:val="bullet"/>
      <w:lvlText w:val="▪"/>
      <w:lvlJc w:val="left"/>
      <w:pPr>
        <w:ind w:left="3958" w:firstLine="0"/>
      </w:pPr>
      <w:rPr>
        <w:rFonts w:ascii="Quattrocento Sans" w:eastAsia="Quattrocento Sans" w:hAnsi="Quattrocento Sans" w:cs="Quattrocento Sans"/>
        <w:b w:val="0"/>
        <w:i w:val="0"/>
        <w:strike w:val="0"/>
        <w:color w:val="000000"/>
        <w:sz w:val="20"/>
        <w:szCs w:val="20"/>
        <w:u w:val="none"/>
        <w:vertAlign w:val="baseline"/>
      </w:rPr>
    </w:lvl>
    <w:lvl w:ilvl="6">
      <w:start w:val="1"/>
      <w:numFmt w:val="bullet"/>
      <w:lvlText w:val="•"/>
      <w:lvlJc w:val="left"/>
      <w:pPr>
        <w:ind w:left="4678" w:firstLine="0"/>
      </w:pPr>
      <w:rPr>
        <w:rFonts w:ascii="Arial" w:eastAsia="Arial" w:hAnsi="Arial" w:cs="Arial"/>
        <w:b w:val="0"/>
        <w:i w:val="0"/>
        <w:strike w:val="0"/>
        <w:color w:val="000000"/>
        <w:sz w:val="20"/>
        <w:szCs w:val="20"/>
        <w:u w:val="none"/>
        <w:vertAlign w:val="baseline"/>
      </w:rPr>
    </w:lvl>
    <w:lvl w:ilvl="7">
      <w:start w:val="1"/>
      <w:numFmt w:val="bullet"/>
      <w:lvlText w:val="o"/>
      <w:lvlJc w:val="left"/>
      <w:pPr>
        <w:ind w:left="5398" w:firstLine="0"/>
      </w:pPr>
      <w:rPr>
        <w:rFonts w:ascii="Quattrocento Sans" w:eastAsia="Quattrocento Sans" w:hAnsi="Quattrocento Sans" w:cs="Quattrocento Sans"/>
        <w:b w:val="0"/>
        <w:i w:val="0"/>
        <w:strike w:val="0"/>
        <w:color w:val="000000"/>
        <w:sz w:val="20"/>
        <w:szCs w:val="20"/>
        <w:u w:val="none"/>
        <w:vertAlign w:val="baseline"/>
      </w:rPr>
    </w:lvl>
    <w:lvl w:ilvl="8">
      <w:start w:val="1"/>
      <w:numFmt w:val="bullet"/>
      <w:lvlText w:val="▪"/>
      <w:lvlJc w:val="left"/>
      <w:pPr>
        <w:ind w:left="6118" w:firstLine="0"/>
      </w:pPr>
      <w:rPr>
        <w:rFonts w:ascii="Quattrocento Sans" w:eastAsia="Quattrocento Sans" w:hAnsi="Quattrocento Sans" w:cs="Quattrocento Sans"/>
        <w:b w:val="0"/>
        <w:i w:val="0"/>
        <w:strike w:val="0"/>
        <w:color w:val="000000"/>
        <w:sz w:val="20"/>
        <w:szCs w:val="20"/>
        <w:u w:val="none"/>
        <w:vertAlign w:val="baseline"/>
      </w:rPr>
    </w:lvl>
  </w:abstractNum>
  <w:abstractNum w:abstractNumId="2">
    <w:nsid w:val="7DC53190"/>
    <w:multiLevelType w:val="multilevel"/>
    <w:tmpl w:val="1826E344"/>
    <w:lvl w:ilvl="0">
      <w:start w:val="2000"/>
      <w:numFmt w:val="bullet"/>
      <w:lvlText w:val="-"/>
      <w:lvlJc w:val="left"/>
      <w:pPr>
        <w:ind w:left="360" w:hanging="360"/>
      </w:pPr>
    </w:lvl>
    <w:lvl w:ilvl="1">
      <w:start w:val="1"/>
      <w:numFmt w:val="lowerRoman"/>
      <w:lvlText w:val="%2)"/>
      <w:lvlJc w:val="left"/>
      <w:pPr>
        <w:ind w:left="1440" w:hanging="720"/>
      </w:pPr>
      <w:rPr>
        <w:b w:val="0"/>
        <w: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hdrShapeDefaults>
    <o:shapedefaults v:ext="edit" spidmax="2050"/>
  </w:hdrShapeDefaults>
  <w:footnotePr>
    <w:footnote w:id="0"/>
    <w:footnote w:id="1"/>
  </w:footnotePr>
  <w:endnotePr>
    <w:endnote w:id="0"/>
    <w:endnote w:id="1"/>
  </w:endnotePr>
  <w:compat/>
  <w:rsids>
    <w:rsidRoot w:val="001D7D2B"/>
    <w:rsid w:val="001D7D2B"/>
    <w:rsid w:val="005431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43FD"/>
  </w:style>
  <w:style w:type="paragraph" w:styleId="Titolo1">
    <w:name w:val="heading 1"/>
    <w:next w:val="Normale"/>
    <w:link w:val="Titolo1Carattere"/>
    <w:uiPriority w:val="9"/>
    <w:qFormat/>
    <w:rsid w:val="00035CE2"/>
    <w:pPr>
      <w:keepNext/>
      <w:keepLines/>
      <w:spacing w:after="0" w:line="256" w:lineRule="auto"/>
      <w:ind w:left="10" w:right="4" w:hanging="10"/>
      <w:jc w:val="center"/>
      <w:outlineLvl w:val="0"/>
    </w:pPr>
    <w:rPr>
      <w:rFonts w:ascii="Times New Roman" w:eastAsia="Times New Roman" w:hAnsi="Times New Roman" w:cs="Times New Roman"/>
      <w:b/>
      <w:color w:val="000000"/>
      <w:sz w:val="24"/>
      <w:u w:val="single" w:color="000000"/>
    </w:rPr>
  </w:style>
  <w:style w:type="paragraph" w:styleId="Titolo2">
    <w:name w:val="heading 2"/>
    <w:basedOn w:val="normal"/>
    <w:next w:val="normal"/>
    <w:rsid w:val="001D7D2B"/>
    <w:pPr>
      <w:keepNext/>
      <w:keepLines/>
      <w:spacing w:before="360" w:after="80"/>
      <w:outlineLvl w:val="1"/>
    </w:pPr>
    <w:rPr>
      <w:b/>
      <w:sz w:val="36"/>
      <w:szCs w:val="36"/>
    </w:rPr>
  </w:style>
  <w:style w:type="paragraph" w:styleId="Titolo3">
    <w:name w:val="heading 3"/>
    <w:basedOn w:val="normal"/>
    <w:next w:val="normal"/>
    <w:rsid w:val="001D7D2B"/>
    <w:pPr>
      <w:keepNext/>
      <w:keepLines/>
      <w:spacing w:before="280" w:after="80"/>
      <w:outlineLvl w:val="2"/>
    </w:pPr>
    <w:rPr>
      <w:b/>
      <w:sz w:val="28"/>
      <w:szCs w:val="28"/>
    </w:rPr>
  </w:style>
  <w:style w:type="paragraph" w:styleId="Titolo4">
    <w:name w:val="heading 4"/>
    <w:basedOn w:val="normal"/>
    <w:next w:val="normal"/>
    <w:rsid w:val="001D7D2B"/>
    <w:pPr>
      <w:keepNext/>
      <w:keepLines/>
      <w:spacing w:before="240" w:after="40"/>
      <w:outlineLvl w:val="3"/>
    </w:pPr>
    <w:rPr>
      <w:b/>
      <w:sz w:val="24"/>
      <w:szCs w:val="24"/>
    </w:rPr>
  </w:style>
  <w:style w:type="paragraph" w:styleId="Titolo5">
    <w:name w:val="heading 5"/>
    <w:basedOn w:val="normal"/>
    <w:next w:val="normal"/>
    <w:rsid w:val="001D7D2B"/>
    <w:pPr>
      <w:keepNext/>
      <w:keepLines/>
      <w:spacing w:before="220" w:after="40"/>
      <w:outlineLvl w:val="4"/>
    </w:pPr>
    <w:rPr>
      <w:b/>
    </w:rPr>
  </w:style>
  <w:style w:type="paragraph" w:styleId="Titolo6">
    <w:name w:val="heading 6"/>
    <w:basedOn w:val="normal"/>
    <w:next w:val="normal"/>
    <w:rsid w:val="001D7D2B"/>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1D7D2B"/>
  </w:style>
  <w:style w:type="table" w:customStyle="1" w:styleId="TableNormal">
    <w:name w:val="Table Normal"/>
    <w:rsid w:val="001D7D2B"/>
    <w:tblPr>
      <w:tblCellMar>
        <w:top w:w="0" w:type="dxa"/>
        <w:left w:w="0" w:type="dxa"/>
        <w:bottom w:w="0" w:type="dxa"/>
        <w:right w:w="0" w:type="dxa"/>
      </w:tblCellMar>
    </w:tblPr>
  </w:style>
  <w:style w:type="paragraph" w:styleId="Titolo">
    <w:name w:val="Title"/>
    <w:basedOn w:val="normal"/>
    <w:next w:val="normal"/>
    <w:rsid w:val="001D7D2B"/>
    <w:pPr>
      <w:keepNext/>
      <w:keepLines/>
      <w:spacing w:before="480" w:after="120"/>
    </w:pPr>
    <w:rPr>
      <w:b/>
      <w:sz w:val="72"/>
      <w:szCs w:val="72"/>
    </w:rPr>
  </w:style>
  <w:style w:type="paragraph" w:styleId="Intestazione">
    <w:name w:val="header"/>
    <w:basedOn w:val="Normale"/>
    <w:link w:val="IntestazioneCarattere"/>
    <w:uiPriority w:val="99"/>
    <w:unhideWhenUsed/>
    <w:rsid w:val="005D65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6546"/>
  </w:style>
  <w:style w:type="paragraph" w:styleId="Pidipagina">
    <w:name w:val="footer"/>
    <w:basedOn w:val="Normale"/>
    <w:link w:val="PidipaginaCarattere"/>
    <w:uiPriority w:val="99"/>
    <w:semiHidden/>
    <w:unhideWhenUsed/>
    <w:rsid w:val="005D65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5D6546"/>
  </w:style>
  <w:style w:type="paragraph" w:styleId="Testofumetto">
    <w:name w:val="Balloon Text"/>
    <w:basedOn w:val="Normale"/>
    <w:link w:val="TestofumettoCarattere"/>
    <w:uiPriority w:val="99"/>
    <w:semiHidden/>
    <w:unhideWhenUsed/>
    <w:rsid w:val="005D65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6546"/>
    <w:rPr>
      <w:rFonts w:ascii="Tahoma" w:hAnsi="Tahoma" w:cs="Tahoma"/>
      <w:sz w:val="16"/>
      <w:szCs w:val="16"/>
    </w:rPr>
  </w:style>
  <w:style w:type="character" w:customStyle="1" w:styleId="Titolo1Carattere">
    <w:name w:val="Titolo 1 Carattere"/>
    <w:basedOn w:val="Carpredefinitoparagrafo"/>
    <w:link w:val="Titolo1"/>
    <w:uiPriority w:val="9"/>
    <w:rsid w:val="00035CE2"/>
    <w:rPr>
      <w:rFonts w:ascii="Times New Roman" w:eastAsia="Times New Roman" w:hAnsi="Times New Roman" w:cs="Times New Roman"/>
      <w:b/>
      <w:color w:val="000000"/>
      <w:sz w:val="24"/>
      <w:u w:val="single" w:color="000000"/>
    </w:rPr>
  </w:style>
  <w:style w:type="paragraph" w:styleId="Testonotaapidipagina">
    <w:name w:val="footnote text"/>
    <w:basedOn w:val="Normale"/>
    <w:link w:val="TestonotaapidipaginaCarattere"/>
    <w:uiPriority w:val="99"/>
    <w:semiHidden/>
    <w:unhideWhenUsed/>
    <w:rsid w:val="00035CE2"/>
    <w:pPr>
      <w:autoSpaceDE w:val="0"/>
      <w:autoSpaceDN w:val="0"/>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035CE2"/>
    <w:rPr>
      <w:rFonts w:ascii="Times New Roman" w:eastAsia="Times New Roman" w:hAnsi="Times New Roman" w:cs="Times New Roman"/>
      <w:sz w:val="20"/>
      <w:szCs w:val="20"/>
    </w:rPr>
  </w:style>
  <w:style w:type="character" w:customStyle="1" w:styleId="footnotedescriptionChar">
    <w:name w:val="footnote description Char"/>
    <w:link w:val="footnotedescription"/>
    <w:locked/>
    <w:rsid w:val="00035CE2"/>
    <w:rPr>
      <w:rFonts w:ascii="Times New Roman" w:eastAsia="Times New Roman" w:hAnsi="Times New Roman" w:cs="Times New Roman"/>
      <w:color w:val="000000"/>
      <w:sz w:val="16"/>
    </w:rPr>
  </w:style>
  <w:style w:type="paragraph" w:customStyle="1" w:styleId="footnotedescription">
    <w:name w:val="footnote description"/>
    <w:next w:val="Normale"/>
    <w:link w:val="footnotedescriptionChar"/>
    <w:rsid w:val="00035CE2"/>
    <w:pPr>
      <w:spacing w:after="0" w:line="256" w:lineRule="auto"/>
      <w:ind w:right="2"/>
      <w:jc w:val="both"/>
    </w:pPr>
    <w:rPr>
      <w:rFonts w:ascii="Times New Roman" w:eastAsia="Times New Roman" w:hAnsi="Times New Roman" w:cs="Times New Roman"/>
      <w:color w:val="000000"/>
      <w:sz w:val="16"/>
    </w:rPr>
  </w:style>
  <w:style w:type="character" w:styleId="Rimandonotaapidipagina">
    <w:name w:val="footnote reference"/>
    <w:basedOn w:val="Carpredefinitoparagrafo"/>
    <w:uiPriority w:val="99"/>
    <w:semiHidden/>
    <w:unhideWhenUsed/>
    <w:rsid w:val="00035CE2"/>
    <w:rPr>
      <w:rFonts w:ascii="Times New Roman" w:hAnsi="Times New Roman" w:cs="Times New Roman" w:hint="default"/>
      <w:position w:val="6"/>
      <w:sz w:val="16"/>
      <w:szCs w:val="16"/>
    </w:rPr>
  </w:style>
  <w:style w:type="character" w:customStyle="1" w:styleId="footnotemark">
    <w:name w:val="footnote mark"/>
    <w:rsid w:val="00035CE2"/>
    <w:rPr>
      <w:rFonts w:ascii="Times New Roman" w:eastAsia="Times New Roman" w:hAnsi="Times New Roman" w:cs="Times New Roman" w:hint="default"/>
      <w:color w:val="000000"/>
      <w:sz w:val="16"/>
      <w:vertAlign w:val="superscript"/>
    </w:rPr>
  </w:style>
  <w:style w:type="paragraph" w:styleId="Sottotitolo">
    <w:name w:val="Subtitle"/>
    <w:basedOn w:val="normal"/>
    <w:next w:val="normal"/>
    <w:rsid w:val="001D7D2B"/>
    <w:pPr>
      <w:keepNext/>
      <w:keepLines/>
      <w:spacing w:before="360" w:after="80"/>
    </w:pPr>
    <w:rPr>
      <w:rFonts w:ascii="Georgia" w:eastAsia="Georgia" w:hAnsi="Georgia" w:cs="Georgia"/>
      <w:i/>
      <w:color w:val="666666"/>
      <w:sz w:val="48"/>
      <w:szCs w:val="48"/>
    </w:rPr>
  </w:style>
  <w:style w:type="table" w:customStyle="1" w:styleId="a">
    <w:basedOn w:val="TableNormal"/>
    <w:rsid w:val="001D7D2B"/>
    <w:tblPr>
      <w:tblStyleRowBandSize w:val="1"/>
      <w:tblStyleColBandSize w:val="1"/>
      <w:tblCellMar>
        <w:top w:w="0" w:type="dxa"/>
        <w:left w:w="70" w:type="dxa"/>
        <w:bottom w:w="0" w:type="dxa"/>
        <w:right w:w="70" w:type="dxa"/>
      </w:tblCellMar>
    </w:tblPr>
  </w:style>
  <w:style w:type="table" w:customStyle="1" w:styleId="a0">
    <w:basedOn w:val="TableNormal"/>
    <w:rsid w:val="001D7D2B"/>
    <w:tblPr>
      <w:tblStyleRowBandSize w:val="1"/>
      <w:tblStyleColBandSize w:val="1"/>
      <w:tblCellMar>
        <w:top w:w="0" w:type="dxa"/>
        <w:left w:w="70" w:type="dxa"/>
        <w:bottom w:w="0" w:type="dxa"/>
        <w:right w:w="7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uqKLz39K746bYjlrCuGeza4EbQ==">AMUW2mWgebyRxu3Cbh9zsUoa12bEKYbTC9fj/6JahU1FLgdjeVeKtdPDjDT1NJcSN0zCeI3ulKezjMI+0NIgF9hJul53uc374ySXA2QP9n75aDnZc6Gm7/s=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7778</Characters>
  <Application>Microsoft Office Word</Application>
  <DocSecurity>0</DocSecurity>
  <Lines>64</Lines>
  <Paragraphs>18</Paragraphs>
  <ScaleCrop>false</ScaleCrop>
  <Company>Comune di Torino</Company>
  <LinksUpToDate>false</LinksUpToDate>
  <CharactersWithSpaces>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Alessandro</cp:lastModifiedBy>
  <cp:revision>2</cp:revision>
  <dcterms:created xsi:type="dcterms:W3CDTF">2021-10-11T11:59:00Z</dcterms:created>
  <dcterms:modified xsi:type="dcterms:W3CDTF">2021-10-12T11:05:00Z</dcterms:modified>
</cp:coreProperties>
</file>