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8103"/>
        </w:tabs>
        <w:spacing w:after="154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  <w:tab/>
      </w:r>
    </w:p>
    <w:p w:rsidR="00000000" w:rsidDel="00000000" w:rsidP="00000000" w:rsidRDefault="00000000" w:rsidRPr="00000000" w14:paraId="00000002">
      <w:pPr>
        <w:tabs>
          <w:tab w:val="center" w:leader="none" w:pos="8103"/>
        </w:tabs>
        <w:spacing w:after="154" w:lineRule="auto"/>
        <w:rPr>
          <w:sz w:val="18"/>
          <w:szCs w:val="18"/>
        </w:rPr>
      </w:pPr>
      <w:r w:rsidDel="00000000" w:rsidR="00000000" w:rsidRPr="00000000">
        <w:rPr/>
        <w:drawing>
          <wp:inline distB="114300" distT="114300" distL="114300" distR="114300">
            <wp:extent cx="6194115" cy="635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4115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8103"/>
        </w:tabs>
        <w:spacing w:after="154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8103"/>
        </w:tabs>
        <w:spacing w:after="154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8103"/>
        </w:tabs>
        <w:spacing w:after="154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36" w:lineRule="auto"/>
        <w:ind w:left="10" w:right="102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6_TO4.4.11.1.c_autocertificazione_DNSH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36" w:lineRule="auto"/>
        <w:ind w:left="10" w:right="102" w:hanging="1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9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2" w:line="351" w:lineRule="auto"/>
        <w:ind w:right="9715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256" w:lineRule="auto"/>
        <w:ind w:left="7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="255" w:lineRule="auto"/>
        <w:ind w:left="7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Allegato … – DSAN Attestante il rispetto del principio DNSH ai sensi dell'articolo 17 del Regolamento (UE) 2020/852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31" w:lineRule="auto"/>
        <w:ind w:left="7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42" w:lineRule="auto"/>
        <w:ind w:left="7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(Il presente allegato deve essere compilato e firmato digitalmente dal soggetto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proponente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775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51" w:lineRule="auto"/>
        <w:ind w:left="10" w:right="100" w:hanging="1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tabs>
          <w:tab w:val="center" w:leader="none" w:pos="8103"/>
        </w:tabs>
        <w:spacing w:after="154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36" w:lineRule="auto"/>
        <w:ind w:left="10" w:right="102" w:hanging="1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36" w:lineRule="auto"/>
        <w:ind w:left="10" w:right="102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6_TO4.4.11.1.c_autocertificazione_DNSH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36" w:lineRule="auto"/>
        <w:ind w:left="10" w:right="102" w:hanging="1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73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" w:line="357" w:lineRule="auto"/>
        <w:ind w:left="-3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__________________________________________, nato a _____________________________, il ___________________________, C.F. _________________________________, Legale Rappresentante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___________________________________________, Codice fiscale_____________, Partita IVA___________________, avente sede legale a ____________________________ in Via/Piazza ____________________________________ n. ____ CAP _______, PEC ________, in qualità di proponente del progetto  _________________________, consapevole della responsabilità penale cui può andare incontro in caso di dichiarazione falsa o comunque non corrispondente al vero (art. 76 del D.P.R.  n. 445 del 28/12/2000), ai sensi del D.P.R. n. 445 del 28/12/2000 e ss.mm.ii. </w:t>
      </w:r>
    </w:p>
    <w:p w:rsidR="00000000" w:rsidDel="00000000" w:rsidP="00000000" w:rsidRDefault="00000000" w:rsidRPr="00000000" w14:paraId="00000019">
      <w:pPr>
        <w:spacing w:after="3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274" w:line="259" w:lineRule="auto"/>
        <w:ind w:right="5"/>
        <w:rPr/>
      </w:pPr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7" w:lineRule="auto"/>
        <w:ind w:left="70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la realizzazione del progetto ..……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è coerente con i principi e gli obblighi specifici  del “Do No Significant Harm” (DNSH) di cui all’articolo 17 del Regolamento (UE) 2020/852 e del PN Metro Plus e Città Medie Sud 2021-2027;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1" w:before="0" w:line="357" w:lineRule="auto"/>
        <w:ind w:left="70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l'esclusione di iniziative potenzialmente dannose, in prima istanza, riconducibili ai settori indicati nell'allegato V del Regolamento per il Fondo InvestUE (Reg.UE n. 523/2021)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241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1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203950" cy="988695"/>
            <wp:effectExtent b="0" l="0" r="0" t="0"/>
            <wp:docPr descr="Immagine che contiene schermata, testo, Elementi grafici&#10;&#10;Descrizione generata automaticamente" id="4" name="image2.png"/>
            <a:graphic>
              <a:graphicData uri="http://schemas.openxmlformats.org/drawingml/2006/picture">
                <pic:pic>
                  <pic:nvPicPr>
                    <pic:cNvPr descr="Immagine che contiene schermata, testo, Elementi grafici&#10;&#10;Descrizione generata automaticamente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988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1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7" w:lineRule="auto"/>
        <w:ind w:left="70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riguardo macchinari, impianti, attrezzature e dispositivi elettrici ed elettronici, saranno privilegiate le migliori e più ecocompatibili tecnologie disponibili (BAT)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1" w:before="0" w:line="357" w:lineRule="auto"/>
        <w:ind w:left="70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investimenti in attività di ricerca e innovazione sono rivolti a ricerche il cui risultato è neutrale tecnologicamente (technological neutrality) nella sua applicazione</w:t>
      </w:r>
    </w:p>
    <w:p w:rsidR="00000000" w:rsidDel="00000000" w:rsidP="00000000" w:rsidRDefault="00000000" w:rsidRPr="00000000" w14:paraId="00000022">
      <w:pPr>
        <w:spacing w:after="110" w:lineRule="auto"/>
        <w:ind w:left="36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15" w:lineRule="auto"/>
        <w:ind w:left="-3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 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8288"/>
        </w:tabs>
        <w:spacing w:after="3" w:lineRule="auto"/>
        <w:ind w:left="-1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Il Legale Rappresentante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8290"/>
        </w:tabs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Firma digitale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309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51" w:lineRule="auto"/>
        <w:ind w:left="10" w:right="100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6841" w:w="11921" w:orient="portrait"/>
      <w:pgMar w:bottom="181" w:top="344" w:left="1133" w:right="10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Ai sensi dell’articolo 6, comma 4, lettera b), del decreto ministeriale 10 febbraio 2022, si ritengono non garantire il rispetto del principio di non arrecare un danno significativo agli obiettivi ambientali o principio DNSH (“Do no significant harm”), come definito all’articolo 17 del Regolamento (UE) n. 2020/852 del Parlamento europeo e del Consiglio, e non possono, pertanto, beneficiare delle agevolazioni previste dal predetto decreto, qualora pertinenti ai programmi proposti, le attività, individuate nella lista di cui all’Allegato V, sezione B), del regolamento (UE) 2021/523 del Parlamento europeo e del Consiglio del 24 marzo 2021 che istituisce il programma InvestEU e che modifica il regolamento (UE) 2015/1017. La lista delle attività di cui al predetto Allegato V, sezione B) è di seguito riportata: 1) attività che limitano i diritti individuali e la libertà delle persone o che violano i diritti umani; 2) nel settore delle attività di difesa, l’utilizzo, lo sviluppo o la fabbricazione di prodotti o tecnologie vietati dal diritto internazionale applicabile; 3) prodotti e attività connessi al tabacco (produzione, distribuzione, trasformazione e commercio); 4) attività escluse dal finanziamento a norma delle pertinenti disposizioni del regolamento Orizzonte Europa: ricerca sulla clonazione umana a fini riproduttivi; le attività volte a modificare il patrimonio genetico degli esseri umani che potrebbero rendere ereditaria tale alterazione; attività volte a creare embrioni umani soltanto a fini di ricerca o per l’approvvigionamento di cellule staminali, anche mediante il trasferimento di nuclei di cellule somatiche; 5) gioco d’azzardo (attività legate alla produzione, concezione, distribuzione, trasformazione, commercio o software); 6) commercio sessuale e relative infrastrutture, servizi e media; 7) attività che comportano l’uso di animali vivi a fini sperimentali e scientifici, nella misura in cui non è possibile garantire il rispetto della Convenzione europea sulla protezione degli animali vertebrati utilizzati a fini sperimentali o ad altri fini scientifici1 ; 8) attività di sviluppo immobiliare, quale attività che ha come unico scopo il rinnovo e la rilocazione o la rivendita degli edifici esistenti, nonché la costruzione di nuovi progetti; tuttavia, sono ammissibili le attività nel settore immobiliare che sono connesse agli obiettivi 1 GU L 222 del 24.8.1999, pag. 31. specifici del programma InvestEU di cui all’articolo 3, paragrafo 2, del Regolamento (UE) 2021/523 e che sono connesse alle aree ammissibili per le operazioni di finanziamento e di investimento di cui all’allegato II del Regolamento (UE) 2021/523, come gli investimenti in progetti di efficienza energetica o di edilizia popolare; 9) attività finanziarie quali l’acquisto o la negoziazione di strumenti finanziari. Sono esclusi, in particolare, operazioni di «buy-out» o di «replacement capital» mirate all’alienazione dei cespiti aziendali (asset stripping); 10) attività proibite dalla legislazione nazionale applicabile; 11)smantellamento, gestione, adeguamento o costruzione di centrali nucleari; 12) investimenti connessi all’estrazione mineraria o all’estrazione, trasformazione, distribuzione, stoccaggio o combustione di combustibili fossili solidi e di petrolio, nonché investimenti connessi all’estrazione di gas. Tale esclusione non si applica a: a) progetti per i quali non vi sono tecnologie alternative praticabili; b) progetti relativi alla prevenzione e alla riduzione dell’inquinamento; c) progetti dotati di impianti di cattura e stoccaggio del carbonio o di impianti di cattura e utilizzo del carbonio; d) progetti industriali o di ricerca che comportano riduzioni sostanziali delle emissioni di gas a effetto serra rispetto ai parametri di riferimento applicabili nell’ambito del sistema per lo scambio di quote di emissioni dell’UE; 13) investimenti in impianti per lo smaltimento dei rifiuti in discariche. L’esclusione non si applica agli investimenti destinati a: a) discariche in loco che costituiscono un elemento ausiliario di un progetto di investimento industriale o minerario, qualora sia stato dimostrato che la messa in discarica è l’unica soluzione praticabile per il trattamento dei rifiuti industriali o minerari prodotti dall’attività in questione; b) discariche esistenti, per garantire l’uso dei gas di discarica e promuovere il recupero dalle discariche (landfill mining) e il ritrattamento dei rifiuti minerari; 14) investimenti in impianti di trattamento meccanico biologico (TMB). L’esclusione non si applica agli investimenti destinati all’ammodernamento degli impianti TMB esistenti per il recupero di energia o per operazioni di riciclaggio dei rifiuti differenziati, come il compostaggio e la digestione anaerobica; 15) investimenti in inceneritori per il trattamento dei rifiuti. L’esclusione non si applica agli investimenti destinati a: a) impianti esclusivamente adibiti al trattamento di rifiuti pericolosi non riciclabili; b) impianti esistenti, quando gli investimenti sono intesi ad aumentare l’efficienza energetica, catturare i gas di scarico per lo stoccaggio o l’utilizzo, o recuperare i materiali da residui di combustione, purché tali investimenti non determinino un aumento della capacità di trattamento dei rifiuti dell’impianto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1" w:before="0" w:line="258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Calibri" w:cs="Calibri" w:eastAsia="Calibri" w:hAnsi="Calibri"/>
      <w:color w:val="000000"/>
    </w:rPr>
  </w:style>
  <w:style w:type="paragraph" w:styleId="Titolo1">
    <w:name w:val="heading 1"/>
    <w:next w:val="Normale"/>
    <w:link w:val="Titolo1Carattere"/>
    <w:uiPriority w:val="9"/>
    <w:qFormat w:val="1"/>
    <w:pPr>
      <w:keepNext w:val="1"/>
      <w:keepLines w:val="1"/>
      <w:spacing w:after="151" w:line="258" w:lineRule="auto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981CC2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446D9E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446D9E"/>
    <w:rPr>
      <w:rFonts w:ascii="Calibri" w:cs="Calibri" w:eastAsia="Calibri" w:hAnsi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446D9E"/>
    <w:rPr>
      <w:vertAlign w:val="superscript"/>
    </w:rPr>
  </w:style>
  <w:style w:type="paragraph" w:styleId="Paragrafoelenco">
    <w:name w:val="List Paragraph"/>
    <w:basedOn w:val="Normale"/>
    <w:uiPriority w:val="34"/>
    <w:qFormat w:val="1"/>
    <w:rsid w:val="00446D9E"/>
    <w:pPr>
      <w:ind w:left="720"/>
      <w:contextualSpacing w:val="1"/>
    </w:p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981CC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B4BE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B4BE4"/>
    <w:rPr>
      <w:rFonts w:ascii="Tahoma" w:cs="Tahoma" w:eastAsia="Calibri" w:hAnsi="Tahoma"/>
      <w:color w:val="00000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8pff/MMZUCrChH57K0VDQa1Sw==">CgMxLjAyCGguZ2pkZ3hzOAByITFvRG1SZE9VVE1iNGtlZXRMaVIweUV6aWdaYTJSR2xvTA==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2023-10-23T15:14:00Z</dcterms:created>
  <dc:creator>giorgio.martini</dc:creator>
</cp:coreProperties>
</file>